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74D84" w14:textId="300FAD50" w:rsidR="007748ED" w:rsidRDefault="007748ED" w:rsidP="007748ED">
      <w:pPr>
        <w:pStyle w:val="CRCoverPage"/>
        <w:tabs>
          <w:tab w:val="right" w:pos="9639"/>
        </w:tabs>
        <w:spacing w:after="0"/>
        <w:rPr>
          <w:b/>
          <w:i/>
          <w:noProof/>
          <w:sz w:val="28"/>
        </w:rPr>
      </w:pPr>
      <w:bookmarkStart w:id="0" w:name="_Hlk3548187"/>
      <w:bookmarkStart w:id="1" w:name="_Toc508617208"/>
      <w:r>
        <w:rPr>
          <w:b/>
          <w:noProof/>
          <w:sz w:val="24"/>
        </w:rPr>
        <w:t>3GPP TSG-</w:t>
      </w:r>
      <w:r w:rsidR="00D52FB0">
        <w:fldChar w:fldCharType="begin"/>
      </w:r>
      <w:r w:rsidR="00D52FB0">
        <w:instrText xml:space="preserve"> DOCPROPERTY  TSG/WGRef  \* MERGEFORMAT </w:instrText>
      </w:r>
      <w:r w:rsidR="00D52FB0">
        <w:fldChar w:fldCharType="separate"/>
      </w:r>
      <w:r>
        <w:rPr>
          <w:b/>
          <w:noProof/>
          <w:sz w:val="24"/>
        </w:rPr>
        <w:t>RAN5</w:t>
      </w:r>
      <w:r w:rsidR="00D52FB0">
        <w:rPr>
          <w:b/>
          <w:noProof/>
          <w:sz w:val="24"/>
        </w:rPr>
        <w:fldChar w:fldCharType="end"/>
      </w:r>
      <w:r>
        <w:rPr>
          <w:b/>
          <w:noProof/>
          <w:sz w:val="24"/>
        </w:rPr>
        <w:t xml:space="preserve"> Meeting #</w:t>
      </w:r>
      <w:r w:rsidR="00D52FB0">
        <w:fldChar w:fldCharType="begin"/>
      </w:r>
      <w:r w:rsidR="00D52FB0">
        <w:instrText xml:space="preserve"> DOCPROPERTY  MtgSeq  \* MERGEFORMAT </w:instrText>
      </w:r>
      <w:r w:rsidR="00D52FB0">
        <w:fldChar w:fldCharType="separate"/>
      </w:r>
      <w:r w:rsidR="00FC5E17">
        <w:rPr>
          <w:b/>
          <w:noProof/>
          <w:sz w:val="24"/>
        </w:rPr>
        <w:t>100</w:t>
      </w:r>
      <w:r w:rsidR="00D52FB0">
        <w:rPr>
          <w:b/>
          <w:noProof/>
          <w:sz w:val="24"/>
        </w:rPr>
        <w:fldChar w:fldCharType="end"/>
      </w:r>
      <w:r w:rsidR="00D52FB0">
        <w:fldChar w:fldCharType="begin"/>
      </w:r>
      <w:r w:rsidR="00D52FB0">
        <w:instrText xml:space="preserve"> DOCPROPERTY  MtgTitle  \* MERGEFORMAT </w:instrText>
      </w:r>
      <w:r w:rsidR="00D52FB0">
        <w:fldChar w:fldCharType="separate"/>
      </w:r>
      <w:r w:rsidR="00D52FB0">
        <w:fldChar w:fldCharType="end"/>
      </w:r>
      <w:r>
        <w:rPr>
          <w:b/>
          <w:i/>
          <w:noProof/>
          <w:sz w:val="28"/>
        </w:rPr>
        <w:tab/>
      </w:r>
      <w:r w:rsidR="00D52FB0">
        <w:fldChar w:fldCharType="begin"/>
      </w:r>
      <w:r w:rsidR="00D52FB0">
        <w:instrText xml:space="preserve"> DOCPROPERTY  Tdoc#  \* MERGEFORMAT </w:instrText>
      </w:r>
      <w:r w:rsidR="00D52FB0">
        <w:fldChar w:fldCharType="separate"/>
      </w:r>
      <w:r w:rsidRPr="00E13F3D">
        <w:rPr>
          <w:b/>
          <w:i/>
          <w:noProof/>
          <w:sz w:val="28"/>
        </w:rPr>
        <w:t>R5-23</w:t>
      </w:r>
      <w:r w:rsidR="00FA6835" w:rsidRPr="00FA6835">
        <w:rPr>
          <w:b/>
          <w:i/>
          <w:noProof/>
          <w:sz w:val="28"/>
        </w:rPr>
        <w:t>3971</w:t>
      </w:r>
      <w:r w:rsidR="00D52FB0">
        <w:rPr>
          <w:b/>
          <w:i/>
          <w:noProof/>
          <w:sz w:val="28"/>
        </w:rPr>
        <w:fldChar w:fldCharType="end"/>
      </w:r>
    </w:p>
    <w:p w14:paraId="7885B623" w14:textId="061E7506" w:rsidR="007748ED" w:rsidRDefault="003330E9" w:rsidP="007748ED">
      <w:pPr>
        <w:pStyle w:val="CRCoverPage"/>
        <w:outlineLvl w:val="0"/>
        <w:rPr>
          <w:b/>
          <w:noProof/>
          <w:sz w:val="24"/>
        </w:rPr>
      </w:pPr>
      <w:r>
        <w:rPr>
          <w:b/>
          <w:noProof/>
          <w:sz w:val="24"/>
        </w:rPr>
        <w:t>Toulouse</w:t>
      </w:r>
      <w:r w:rsidR="007748ED">
        <w:rPr>
          <w:b/>
          <w:noProof/>
          <w:sz w:val="24"/>
        </w:rPr>
        <w:t xml:space="preserve">, </w:t>
      </w:r>
      <w:r>
        <w:rPr>
          <w:b/>
          <w:noProof/>
          <w:sz w:val="24"/>
        </w:rPr>
        <w:t>France</w:t>
      </w:r>
      <w:r w:rsidR="007748ED">
        <w:rPr>
          <w:b/>
          <w:noProof/>
          <w:sz w:val="24"/>
        </w:rPr>
        <w:t xml:space="preserve">, </w:t>
      </w:r>
      <w:r w:rsidR="00D52FB0">
        <w:fldChar w:fldCharType="begin"/>
      </w:r>
      <w:r w:rsidR="00D52FB0">
        <w:instrText xml:space="preserve"> DOCPROPERTY  StartDate  \* MERGEFORMAT </w:instrText>
      </w:r>
      <w:r w:rsidR="00D52FB0">
        <w:fldChar w:fldCharType="separate"/>
      </w:r>
      <w:r w:rsidR="007748ED" w:rsidRPr="00BA51D9">
        <w:rPr>
          <w:b/>
          <w:noProof/>
          <w:sz w:val="24"/>
        </w:rPr>
        <w:t>2</w:t>
      </w:r>
      <w:r w:rsidR="002425F5">
        <w:rPr>
          <w:b/>
          <w:noProof/>
          <w:sz w:val="24"/>
        </w:rPr>
        <w:t>1s</w:t>
      </w:r>
      <w:r w:rsidR="007748ED" w:rsidRPr="00BA51D9">
        <w:rPr>
          <w:b/>
          <w:noProof/>
          <w:sz w:val="24"/>
        </w:rPr>
        <w:t xml:space="preserve">t </w:t>
      </w:r>
      <w:r w:rsidR="002425F5">
        <w:rPr>
          <w:b/>
          <w:noProof/>
          <w:sz w:val="24"/>
        </w:rPr>
        <w:t>Aug</w:t>
      </w:r>
      <w:r w:rsidR="007748ED" w:rsidRPr="00BA51D9">
        <w:rPr>
          <w:b/>
          <w:noProof/>
          <w:sz w:val="24"/>
        </w:rPr>
        <w:t xml:space="preserve"> 2023</w:t>
      </w:r>
      <w:r w:rsidR="00D52FB0">
        <w:rPr>
          <w:b/>
          <w:noProof/>
          <w:sz w:val="24"/>
        </w:rPr>
        <w:fldChar w:fldCharType="end"/>
      </w:r>
      <w:r w:rsidR="007748ED">
        <w:rPr>
          <w:b/>
          <w:noProof/>
          <w:sz w:val="24"/>
        </w:rPr>
        <w:t xml:space="preserve"> </w:t>
      </w:r>
      <w:r w:rsidR="006D2259">
        <w:rPr>
          <w:b/>
          <w:noProof/>
          <w:sz w:val="24"/>
        </w:rPr>
        <w:t>–</w:t>
      </w:r>
      <w:r w:rsidR="007748ED">
        <w:rPr>
          <w:b/>
          <w:noProof/>
          <w:sz w:val="24"/>
        </w:rPr>
        <w:t xml:space="preserve"> </w:t>
      </w:r>
      <w:r w:rsidR="00D52FB0">
        <w:fldChar w:fldCharType="begin"/>
      </w:r>
      <w:r w:rsidR="00D52FB0">
        <w:instrText xml:space="preserve"> DOCPROPERTY  EndDate  \* MERGEFORMAT </w:instrText>
      </w:r>
      <w:r w:rsidR="00D52FB0">
        <w:fldChar w:fldCharType="separate"/>
      </w:r>
      <w:r w:rsidR="006D2259">
        <w:rPr>
          <w:b/>
          <w:noProof/>
          <w:sz w:val="24"/>
        </w:rPr>
        <w:t>2</w:t>
      </w:r>
      <w:r w:rsidR="002425F5">
        <w:rPr>
          <w:b/>
          <w:noProof/>
          <w:sz w:val="24"/>
        </w:rPr>
        <w:t>5</w:t>
      </w:r>
      <w:r w:rsidR="006D2259">
        <w:rPr>
          <w:b/>
          <w:noProof/>
          <w:sz w:val="24"/>
        </w:rPr>
        <w:t>th</w:t>
      </w:r>
      <w:r w:rsidR="007748ED" w:rsidRPr="00BA51D9">
        <w:rPr>
          <w:b/>
          <w:noProof/>
          <w:sz w:val="24"/>
        </w:rPr>
        <w:t xml:space="preserve"> </w:t>
      </w:r>
      <w:r w:rsidR="002425F5">
        <w:rPr>
          <w:b/>
          <w:noProof/>
          <w:sz w:val="24"/>
        </w:rPr>
        <w:t>Aug</w:t>
      </w:r>
      <w:r w:rsidR="007748ED" w:rsidRPr="00BA51D9">
        <w:rPr>
          <w:b/>
          <w:noProof/>
          <w:sz w:val="24"/>
        </w:rPr>
        <w:t xml:space="preserve"> 2023</w:t>
      </w:r>
      <w:r w:rsidR="00D52FB0">
        <w:rPr>
          <w:b/>
          <w:noProof/>
          <w:sz w:val="24"/>
        </w:rPr>
        <w:fldChar w:fldCharType="end"/>
      </w:r>
    </w:p>
    <w:p w14:paraId="35952388" w14:textId="46560D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986997" w:rsidRPr="00986997">
        <w:rPr>
          <w:rFonts w:ascii="Arial" w:hAnsi="Arial" w:cs="Arial"/>
          <w:sz w:val="24"/>
          <w:szCs w:val="24"/>
        </w:rPr>
        <w:t>5.4.17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4E85B47A"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3D3D1E" w:rsidRPr="003D3D1E">
        <w:rPr>
          <w:rFonts w:ascii="Arial" w:hAnsi="Arial" w:cs="Arial"/>
          <w:sz w:val="24"/>
          <w:szCs w:val="24"/>
        </w:rPr>
        <w:t>Testability and MU analysis for FR2c</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1A9EFA9E" w14:textId="35B43CB7" w:rsidR="00327D4F" w:rsidRDefault="00327D4F" w:rsidP="005E2166">
      <w:pPr>
        <w:rPr>
          <w:rFonts w:eastAsia="Batang"/>
        </w:rPr>
      </w:pPr>
      <w:r>
        <w:rPr>
          <w:rFonts w:eastAsia="Batang"/>
        </w:rPr>
        <w:t>During previous meeting RAN5#99, the following action point was created:</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82"/>
        <w:gridCol w:w="808"/>
        <w:gridCol w:w="3538"/>
        <w:gridCol w:w="1341"/>
        <w:gridCol w:w="1106"/>
        <w:gridCol w:w="1046"/>
        <w:gridCol w:w="800"/>
      </w:tblGrid>
      <w:tr w:rsidR="006779A4" w:rsidRPr="006779A4" w14:paraId="32F54EA4" w14:textId="77777777" w:rsidTr="006779A4">
        <w:tc>
          <w:tcPr>
            <w:tcW w:w="1001"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7784BD5D" w14:textId="77777777" w:rsidR="006779A4" w:rsidRPr="006779A4" w:rsidRDefault="006779A4" w:rsidP="006779A4">
            <w:pPr>
              <w:jc w:val="center"/>
              <w:rPr>
                <w:rFonts w:ascii="Arial" w:eastAsia="Times New Roman" w:hAnsi="Arial" w:cs="Arial"/>
                <w:color w:val="000000"/>
                <w:sz w:val="18"/>
                <w:szCs w:val="18"/>
                <w:highlight w:val="lightGray"/>
              </w:rPr>
            </w:pPr>
            <w:r w:rsidRPr="006779A4">
              <w:rPr>
                <w:rFonts w:ascii="Arial" w:eastAsia="Times New Roman" w:hAnsi="Arial" w:cs="Arial"/>
                <w:b/>
                <w:bCs/>
                <w:color w:val="000000"/>
                <w:sz w:val="18"/>
                <w:szCs w:val="18"/>
                <w:highlight w:val="lightGray"/>
              </w:rPr>
              <w:t>Action ID</w:t>
            </w:r>
          </w:p>
        </w:tc>
        <w:tc>
          <w:tcPr>
            <w:tcW w:w="960"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3A619A56" w14:textId="77777777" w:rsidR="006779A4" w:rsidRPr="006779A4" w:rsidRDefault="006779A4" w:rsidP="006779A4">
            <w:pPr>
              <w:jc w:val="center"/>
              <w:rPr>
                <w:rFonts w:ascii="Arial" w:eastAsia="Times New Roman" w:hAnsi="Arial" w:cs="Arial"/>
                <w:color w:val="000000"/>
                <w:sz w:val="18"/>
                <w:szCs w:val="18"/>
                <w:highlight w:val="lightGray"/>
              </w:rPr>
            </w:pPr>
            <w:r w:rsidRPr="006779A4">
              <w:rPr>
                <w:rFonts w:ascii="Arial" w:eastAsia="Times New Roman" w:hAnsi="Arial" w:cs="Arial"/>
                <w:b/>
                <w:bCs/>
                <w:color w:val="000000"/>
                <w:sz w:val="18"/>
                <w:szCs w:val="18"/>
                <w:highlight w:val="lightGray"/>
              </w:rPr>
              <w:t>sWG</w:t>
            </w:r>
          </w:p>
        </w:tc>
        <w:tc>
          <w:tcPr>
            <w:tcW w:w="5138"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4D6AB154" w14:textId="77777777" w:rsidR="006779A4" w:rsidRPr="006779A4" w:rsidRDefault="006779A4" w:rsidP="006779A4">
            <w:pPr>
              <w:jc w:val="center"/>
              <w:rPr>
                <w:rFonts w:ascii="Arial" w:eastAsia="Times New Roman" w:hAnsi="Arial" w:cs="Arial"/>
                <w:color w:val="000000"/>
                <w:sz w:val="18"/>
                <w:szCs w:val="18"/>
                <w:highlight w:val="lightGray"/>
              </w:rPr>
            </w:pPr>
            <w:r w:rsidRPr="006779A4">
              <w:rPr>
                <w:rFonts w:ascii="Arial" w:eastAsia="Times New Roman" w:hAnsi="Arial" w:cs="Arial"/>
                <w:b/>
                <w:bCs/>
                <w:color w:val="000000"/>
                <w:sz w:val="18"/>
                <w:szCs w:val="18"/>
                <w:highlight w:val="lightGray"/>
              </w:rPr>
              <w:t>Action</w:t>
            </w:r>
          </w:p>
        </w:tc>
        <w:tc>
          <w:tcPr>
            <w:tcW w:w="1413"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121C66D" w14:textId="77777777" w:rsidR="006779A4" w:rsidRPr="006779A4" w:rsidRDefault="006779A4" w:rsidP="006779A4">
            <w:pPr>
              <w:jc w:val="center"/>
              <w:rPr>
                <w:rFonts w:ascii="Arial" w:eastAsia="Times New Roman" w:hAnsi="Arial" w:cs="Arial"/>
                <w:color w:val="000000"/>
                <w:sz w:val="18"/>
                <w:szCs w:val="18"/>
                <w:highlight w:val="lightGray"/>
              </w:rPr>
            </w:pPr>
            <w:r w:rsidRPr="006779A4">
              <w:rPr>
                <w:rFonts w:ascii="Arial" w:eastAsia="Times New Roman" w:hAnsi="Arial" w:cs="Arial"/>
                <w:b/>
                <w:bCs/>
                <w:color w:val="000000"/>
                <w:sz w:val="18"/>
                <w:szCs w:val="18"/>
                <w:highlight w:val="lightGray"/>
              </w:rPr>
              <w:t>Responsible</w:t>
            </w:r>
          </w:p>
        </w:tc>
        <w:tc>
          <w:tcPr>
            <w:tcW w:w="1205"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57C5EE15" w14:textId="77777777" w:rsidR="006779A4" w:rsidRPr="006779A4" w:rsidRDefault="006779A4" w:rsidP="006779A4">
            <w:pPr>
              <w:jc w:val="center"/>
              <w:rPr>
                <w:rFonts w:ascii="Arial" w:eastAsia="Times New Roman" w:hAnsi="Arial" w:cs="Arial"/>
                <w:color w:val="000000"/>
                <w:sz w:val="18"/>
                <w:szCs w:val="18"/>
                <w:highlight w:val="lightGray"/>
              </w:rPr>
            </w:pPr>
            <w:r w:rsidRPr="006779A4">
              <w:rPr>
                <w:rFonts w:ascii="Arial" w:eastAsia="Times New Roman" w:hAnsi="Arial" w:cs="Arial"/>
                <w:b/>
                <w:bCs/>
                <w:color w:val="000000"/>
                <w:sz w:val="18"/>
                <w:szCs w:val="18"/>
                <w:highlight w:val="lightGray"/>
              </w:rPr>
              <w:t>Relevant Tdoc</w:t>
            </w:r>
          </w:p>
        </w:tc>
        <w:tc>
          <w:tcPr>
            <w:tcW w:w="1050"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5F4B7517" w14:textId="77777777" w:rsidR="006779A4" w:rsidRPr="006779A4" w:rsidRDefault="006779A4" w:rsidP="006779A4">
            <w:pPr>
              <w:jc w:val="center"/>
              <w:rPr>
                <w:rFonts w:ascii="Arial" w:eastAsia="Times New Roman" w:hAnsi="Arial" w:cs="Arial"/>
                <w:color w:val="000000"/>
                <w:sz w:val="18"/>
                <w:szCs w:val="18"/>
                <w:highlight w:val="lightGray"/>
              </w:rPr>
            </w:pPr>
            <w:r w:rsidRPr="006779A4">
              <w:rPr>
                <w:rFonts w:ascii="Arial" w:eastAsia="Times New Roman" w:hAnsi="Arial" w:cs="Arial"/>
                <w:b/>
                <w:bCs/>
                <w:color w:val="000000"/>
                <w:sz w:val="18"/>
                <w:szCs w:val="18"/>
                <w:highlight w:val="lightGray"/>
              </w:rPr>
              <w:t>Deadline</w:t>
            </w:r>
          </w:p>
        </w:tc>
        <w:tc>
          <w:tcPr>
            <w:tcW w:w="858"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6CD7EEE9" w14:textId="77777777" w:rsidR="006779A4" w:rsidRPr="006779A4" w:rsidRDefault="006779A4" w:rsidP="006779A4">
            <w:pPr>
              <w:jc w:val="center"/>
              <w:rPr>
                <w:rFonts w:ascii="Arial" w:eastAsia="Times New Roman" w:hAnsi="Arial" w:cs="Arial"/>
                <w:color w:val="000000"/>
                <w:sz w:val="18"/>
                <w:szCs w:val="18"/>
                <w:highlight w:val="lightGray"/>
              </w:rPr>
            </w:pPr>
            <w:r w:rsidRPr="006779A4">
              <w:rPr>
                <w:rFonts w:ascii="Arial" w:eastAsia="Times New Roman" w:hAnsi="Arial" w:cs="Arial"/>
                <w:b/>
                <w:bCs/>
                <w:color w:val="000000"/>
                <w:sz w:val="18"/>
                <w:szCs w:val="18"/>
                <w:highlight w:val="lightGray"/>
              </w:rPr>
              <w:t>Status</w:t>
            </w:r>
          </w:p>
        </w:tc>
      </w:tr>
      <w:tr w:rsidR="006779A4" w:rsidRPr="006779A4" w14:paraId="0D2F8CA6" w14:textId="77777777" w:rsidTr="006779A4">
        <w:tc>
          <w:tcPr>
            <w:tcW w:w="9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D6B5EF" w14:textId="77777777" w:rsidR="006779A4" w:rsidRPr="006779A4" w:rsidRDefault="006779A4" w:rsidP="006779A4">
            <w:pPr>
              <w:rPr>
                <w:rFonts w:ascii="Arial" w:eastAsia="Times New Roman" w:hAnsi="Arial" w:cs="Arial"/>
                <w:sz w:val="18"/>
                <w:szCs w:val="18"/>
                <w:highlight w:val="lightGray"/>
              </w:rPr>
            </w:pPr>
            <w:r w:rsidRPr="006779A4">
              <w:rPr>
                <w:rFonts w:ascii="Arial" w:eastAsia="Times New Roman" w:hAnsi="Arial" w:cs="Arial"/>
                <w:sz w:val="18"/>
                <w:szCs w:val="18"/>
                <w:highlight w:val="lightGray"/>
              </w:rPr>
              <w:t>AP#99.21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0E48D2" w14:textId="77777777" w:rsidR="006779A4" w:rsidRPr="006779A4" w:rsidRDefault="006779A4" w:rsidP="006779A4">
            <w:pPr>
              <w:rPr>
                <w:rFonts w:ascii="Arial" w:eastAsia="Times New Roman" w:hAnsi="Arial" w:cs="Arial"/>
                <w:sz w:val="18"/>
                <w:szCs w:val="18"/>
                <w:highlight w:val="lightGray"/>
              </w:rPr>
            </w:pPr>
            <w:r w:rsidRPr="006779A4">
              <w:rPr>
                <w:rFonts w:ascii="Arial" w:eastAsia="Times New Roman" w:hAnsi="Arial" w:cs="Arial"/>
                <w:sz w:val="18"/>
                <w:szCs w:val="18"/>
                <w:highlight w:val="lightGray"/>
              </w:rPr>
              <w:t>RF</w:t>
            </w:r>
          </w:p>
        </w:tc>
        <w:tc>
          <w:tcPr>
            <w:tcW w:w="51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934032" w14:textId="6F446AFD" w:rsidR="006779A4" w:rsidRPr="006779A4" w:rsidRDefault="006779A4" w:rsidP="006779A4">
            <w:pPr>
              <w:rPr>
                <w:rFonts w:ascii="Calibri" w:eastAsia="Times New Roman" w:hAnsi="Calibri" w:cs="Calibri"/>
                <w:sz w:val="22"/>
                <w:szCs w:val="22"/>
                <w:highlight w:val="lightGray"/>
                <w:lang w:val="en-US"/>
              </w:rPr>
            </w:pPr>
            <w:r w:rsidRPr="006779A4">
              <w:rPr>
                <w:rFonts w:ascii="Arial" w:eastAsia="Times New Roman" w:hAnsi="Arial" w:cs="Arial"/>
                <w:sz w:val="18"/>
                <w:szCs w:val="18"/>
                <w:highlight w:val="lightGray"/>
              </w:rPr>
              <w:t xml:space="preserve">Define MTSU for regulatory test cases (MOP, EIRP, TRP, Tx OFF power, Freq error, OBW, SEM, ACLR, Ref Sense, ACS, Inband Blocking, Tx/Rx Spurious emissions) for FR2 Band n259 </w:t>
            </w:r>
          </w:p>
        </w:tc>
        <w:tc>
          <w:tcPr>
            <w:tcW w:w="1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1277A2" w14:textId="77777777" w:rsidR="006779A4" w:rsidRPr="006779A4" w:rsidRDefault="006779A4" w:rsidP="006779A4">
            <w:pPr>
              <w:rPr>
                <w:rFonts w:ascii="Arial" w:eastAsia="Times New Roman" w:hAnsi="Arial" w:cs="Arial"/>
                <w:sz w:val="18"/>
                <w:szCs w:val="18"/>
                <w:highlight w:val="lightGray"/>
              </w:rPr>
            </w:pPr>
            <w:r w:rsidRPr="006779A4">
              <w:rPr>
                <w:rFonts w:ascii="Arial" w:eastAsia="Times New Roman" w:hAnsi="Arial" w:cs="Arial"/>
                <w:sz w:val="18"/>
                <w:szCs w:val="18"/>
                <w:highlight w:val="lightGray"/>
              </w:rPr>
              <w:t>Anritsu, R&amp;S, KEYS, DCM</w:t>
            </w:r>
          </w:p>
        </w:tc>
        <w:tc>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8467E7" w14:textId="77777777" w:rsidR="006779A4" w:rsidRPr="006779A4" w:rsidRDefault="006779A4" w:rsidP="006779A4">
            <w:pPr>
              <w:spacing w:after="0"/>
              <w:rPr>
                <w:rFonts w:ascii="Arial" w:eastAsia="Times New Roman" w:hAnsi="Arial" w:cs="Arial"/>
                <w:sz w:val="18"/>
                <w:szCs w:val="18"/>
                <w:highlight w:val="lightGray"/>
              </w:rPr>
            </w:pPr>
            <w:r w:rsidRPr="006779A4">
              <w:rPr>
                <w:rFonts w:ascii="Arial" w:eastAsia="Times New Roman" w:hAnsi="Arial" w:cs="Arial"/>
                <w:sz w:val="18"/>
                <w:szCs w:val="18"/>
                <w:highlight w:val="lightGray"/>
              </w:rPr>
              <w:t>R5-232983</w:t>
            </w:r>
          </w:p>
          <w:p w14:paraId="2E92F20B" w14:textId="77777777" w:rsidR="006779A4" w:rsidRPr="006779A4" w:rsidRDefault="006779A4" w:rsidP="006779A4">
            <w:pPr>
              <w:spacing w:after="0"/>
              <w:rPr>
                <w:rFonts w:ascii="Arial" w:eastAsia="Times New Roman" w:hAnsi="Arial" w:cs="Arial"/>
                <w:sz w:val="18"/>
                <w:szCs w:val="18"/>
                <w:highlight w:val="lightGray"/>
              </w:rPr>
            </w:pPr>
            <w:r w:rsidRPr="006779A4">
              <w:rPr>
                <w:rFonts w:ascii="Arial" w:eastAsia="Times New Roman" w:hAnsi="Arial" w:cs="Arial"/>
                <w:sz w:val="18"/>
                <w:szCs w:val="18"/>
                <w:highlight w:val="lightGray"/>
              </w:rPr>
              <w:t>R5-233174</w:t>
            </w:r>
          </w:p>
        </w:tc>
        <w:tc>
          <w:tcPr>
            <w:tcW w:w="10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5C63D7" w14:textId="77777777" w:rsidR="006779A4" w:rsidRPr="006779A4" w:rsidRDefault="006779A4" w:rsidP="006779A4">
            <w:pPr>
              <w:rPr>
                <w:rFonts w:ascii="Arial" w:eastAsia="Times New Roman" w:hAnsi="Arial" w:cs="Arial"/>
                <w:sz w:val="18"/>
                <w:szCs w:val="18"/>
                <w:highlight w:val="lightGray"/>
              </w:rPr>
            </w:pPr>
            <w:r w:rsidRPr="006779A4">
              <w:rPr>
                <w:rFonts w:ascii="Arial" w:eastAsia="Times New Roman" w:hAnsi="Arial" w:cs="Arial"/>
                <w:sz w:val="18"/>
                <w:szCs w:val="18"/>
                <w:highlight w:val="lightGray"/>
              </w:rPr>
              <w:t>RAN5#102</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6F12C3" w14:textId="77777777" w:rsidR="006779A4" w:rsidRPr="006779A4" w:rsidRDefault="006779A4" w:rsidP="006779A4">
            <w:pPr>
              <w:rPr>
                <w:rFonts w:ascii="Arial" w:eastAsia="Times New Roman" w:hAnsi="Arial" w:cs="Arial"/>
                <w:sz w:val="18"/>
                <w:szCs w:val="18"/>
                <w:highlight w:val="lightGray"/>
              </w:rPr>
            </w:pPr>
            <w:r w:rsidRPr="006779A4">
              <w:rPr>
                <w:rFonts w:ascii="Arial" w:eastAsia="Times New Roman" w:hAnsi="Arial" w:cs="Arial"/>
                <w:sz w:val="18"/>
                <w:szCs w:val="18"/>
                <w:highlight w:val="lightGray"/>
              </w:rPr>
              <w:t>Open</w:t>
            </w:r>
          </w:p>
        </w:tc>
      </w:tr>
    </w:tbl>
    <w:p w14:paraId="3F78BC93" w14:textId="77777777" w:rsidR="00851622" w:rsidRDefault="00851622" w:rsidP="005E2166">
      <w:pPr>
        <w:rPr>
          <w:rFonts w:eastAsia="Batang"/>
        </w:rPr>
      </w:pPr>
    </w:p>
    <w:p w14:paraId="6A411656" w14:textId="289F8C08" w:rsidR="00F7142C" w:rsidRDefault="00851622" w:rsidP="005E2166">
      <w:pPr>
        <w:rPr>
          <w:rFonts w:eastAsia="Batang"/>
        </w:rPr>
      </w:pPr>
      <w:r>
        <w:rPr>
          <w:rFonts w:eastAsia="Batang"/>
        </w:rPr>
        <w:t>As part of that commitment</w:t>
      </w:r>
      <w:r w:rsidR="00B7019B">
        <w:rPr>
          <w:rFonts w:eastAsia="Batang"/>
        </w:rPr>
        <w:t>,</w:t>
      </w:r>
      <w:r>
        <w:rPr>
          <w:rFonts w:eastAsia="Batang"/>
        </w:rPr>
        <w:t xml:space="preserve"> in this contribution</w:t>
      </w:r>
      <w:r w:rsidR="0025774B">
        <w:rPr>
          <w:rFonts w:eastAsia="Batang"/>
        </w:rPr>
        <w:t xml:space="preserve"> Keysight will share its view and proposal</w:t>
      </w:r>
      <w:r w:rsidR="002361DE">
        <w:rPr>
          <w:rFonts w:eastAsia="Batang"/>
        </w:rPr>
        <w:t xml:space="preserve"> to progress on the following </w:t>
      </w:r>
      <w:r w:rsidR="00F7142C">
        <w:rPr>
          <w:rFonts w:eastAsia="Batang"/>
        </w:rPr>
        <w:t>MU factors:</w:t>
      </w:r>
    </w:p>
    <w:p w14:paraId="2D875B7F" w14:textId="21710BC6" w:rsidR="00F7142C" w:rsidRDefault="00F7142C" w:rsidP="00F7142C">
      <w:pPr>
        <w:pStyle w:val="ListParagraph"/>
        <w:numPr>
          <w:ilvl w:val="0"/>
          <w:numId w:val="44"/>
        </w:numPr>
        <w:rPr>
          <w:rFonts w:eastAsia="Batang"/>
        </w:rPr>
      </w:pPr>
      <w:r>
        <w:rPr>
          <w:rFonts w:eastAsia="Batang"/>
        </w:rPr>
        <w:t>Mismatch</w:t>
      </w:r>
    </w:p>
    <w:p w14:paraId="315B97DB" w14:textId="609189A8" w:rsidR="00F7142C" w:rsidRPr="00F7142C" w:rsidRDefault="00497C46" w:rsidP="00F7142C">
      <w:pPr>
        <w:pStyle w:val="ListParagraph"/>
        <w:numPr>
          <w:ilvl w:val="0"/>
          <w:numId w:val="44"/>
        </w:numPr>
        <w:rPr>
          <w:rFonts w:eastAsia="Batang"/>
        </w:rPr>
      </w:pPr>
      <w:r>
        <w:rPr>
          <w:rFonts w:eastAsia="Batang"/>
        </w:rPr>
        <w:t>QoQZ</w:t>
      </w:r>
    </w:p>
    <w:p w14:paraId="6E7B2D29" w14:textId="0430958D" w:rsidR="00327D4F" w:rsidRDefault="004013A1" w:rsidP="005E2166">
      <w:pPr>
        <w:rPr>
          <w:rFonts w:eastAsia="Batang"/>
        </w:rPr>
      </w:pPr>
      <w:r>
        <w:rPr>
          <w:rFonts w:eastAsia="Batang"/>
        </w:rPr>
        <w:t xml:space="preserve">And the following </w:t>
      </w:r>
      <w:r w:rsidR="002361DE">
        <w:rPr>
          <w:rFonts w:eastAsia="Batang"/>
        </w:rPr>
        <w:t>test cases:</w:t>
      </w:r>
    </w:p>
    <w:p w14:paraId="2FB26B95" w14:textId="3FC1E4A8" w:rsidR="002361DE" w:rsidRDefault="002361DE" w:rsidP="002361DE">
      <w:pPr>
        <w:pStyle w:val="ListParagraph"/>
        <w:numPr>
          <w:ilvl w:val="0"/>
          <w:numId w:val="43"/>
        </w:numPr>
        <w:rPr>
          <w:rFonts w:eastAsia="Batang"/>
        </w:rPr>
      </w:pPr>
      <w:r>
        <w:rPr>
          <w:rFonts w:eastAsia="Batang"/>
        </w:rPr>
        <w:t>MOP-EIRP</w:t>
      </w:r>
    </w:p>
    <w:p w14:paraId="6E0DA7B3" w14:textId="7AEBEF10" w:rsidR="002361DE" w:rsidRDefault="002361DE" w:rsidP="002361DE">
      <w:pPr>
        <w:pStyle w:val="ListParagraph"/>
        <w:numPr>
          <w:ilvl w:val="0"/>
          <w:numId w:val="43"/>
        </w:numPr>
        <w:rPr>
          <w:rFonts w:eastAsia="Batang"/>
        </w:rPr>
      </w:pPr>
      <w:r>
        <w:rPr>
          <w:rFonts w:eastAsia="Batang"/>
        </w:rPr>
        <w:t>MOP-TRP</w:t>
      </w:r>
    </w:p>
    <w:p w14:paraId="1C81A640" w14:textId="031734C7" w:rsidR="00711C4A" w:rsidRDefault="00711C4A" w:rsidP="002361DE">
      <w:pPr>
        <w:pStyle w:val="ListParagraph"/>
        <w:numPr>
          <w:ilvl w:val="0"/>
          <w:numId w:val="43"/>
        </w:numPr>
        <w:rPr>
          <w:rFonts w:eastAsia="Batang"/>
        </w:rPr>
      </w:pPr>
      <w:r>
        <w:rPr>
          <w:rFonts w:eastAsia="Batang"/>
        </w:rPr>
        <w:t>Frequency Error</w:t>
      </w:r>
    </w:p>
    <w:p w14:paraId="25DF2642" w14:textId="0ACE20A7" w:rsidR="00711C4A" w:rsidRDefault="00711C4A" w:rsidP="002361DE">
      <w:pPr>
        <w:pStyle w:val="ListParagraph"/>
        <w:numPr>
          <w:ilvl w:val="0"/>
          <w:numId w:val="43"/>
        </w:numPr>
        <w:rPr>
          <w:rFonts w:eastAsia="Batang"/>
        </w:rPr>
      </w:pPr>
      <w:r>
        <w:rPr>
          <w:rFonts w:eastAsia="Batang"/>
        </w:rPr>
        <w:t>REFSENS – EIS</w:t>
      </w:r>
    </w:p>
    <w:p w14:paraId="55627D4E" w14:textId="1B4738F0" w:rsidR="00711C4A" w:rsidRPr="000668E7" w:rsidRDefault="00711C4A" w:rsidP="000668E7">
      <w:pPr>
        <w:pStyle w:val="ListParagraph"/>
        <w:numPr>
          <w:ilvl w:val="0"/>
          <w:numId w:val="43"/>
        </w:numPr>
        <w:rPr>
          <w:rFonts w:eastAsia="Batang"/>
        </w:rPr>
      </w:pPr>
      <w:r>
        <w:rPr>
          <w:rFonts w:eastAsia="Batang"/>
        </w:rPr>
        <w:t>REFSENS – Spherical</w:t>
      </w:r>
    </w:p>
    <w:p w14:paraId="3475675B" w14:textId="77777777" w:rsidR="00DB6CE7" w:rsidRDefault="00DB6CE7" w:rsidP="00DB6CE7">
      <w:pPr>
        <w:pStyle w:val="Heading1"/>
        <w:numPr>
          <w:ilvl w:val="0"/>
          <w:numId w:val="42"/>
        </w:numPr>
        <w:ind w:left="360"/>
      </w:pPr>
      <w:bookmarkStart w:id="2" w:name="_Ref31104997"/>
      <w:r>
        <w:t>Discussion</w:t>
      </w:r>
    </w:p>
    <w:p w14:paraId="170AD432" w14:textId="77E2AD16" w:rsidR="00DB6CE7" w:rsidRPr="00423F6F" w:rsidRDefault="008C6185"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MU Factors</w:t>
      </w:r>
    </w:p>
    <w:p w14:paraId="32DCA537" w14:textId="3256AFB6" w:rsidR="00DB6CE7" w:rsidRDefault="00190C8C" w:rsidP="00DB6CE7">
      <w:r>
        <w:t>MU factors other than influence of noi</w:t>
      </w:r>
      <w:r w:rsidR="00887650">
        <w:t>se</w:t>
      </w:r>
      <w:r w:rsidR="009232A2">
        <w:t xml:space="preserve"> undefined for FR2c will be covered in this section. Regarding influence of noise, it will be covered</w:t>
      </w:r>
      <w:r w:rsidR="004A439A">
        <w:t xml:space="preserve"> individually per test case in</w:t>
      </w:r>
      <w:r w:rsidR="005E7DEC">
        <w:t xml:space="preserve"> section</w:t>
      </w:r>
      <w:r w:rsidR="004A439A">
        <w:t xml:space="preserve"> </w:t>
      </w:r>
      <w:r w:rsidR="004A439A">
        <w:fldChar w:fldCharType="begin"/>
      </w:r>
      <w:r w:rsidR="004A439A">
        <w:instrText xml:space="preserve"> REF _Ref139875643 \r \h </w:instrText>
      </w:r>
      <w:r w:rsidR="004A439A">
        <w:fldChar w:fldCharType="separate"/>
      </w:r>
      <w:r w:rsidR="005138DB">
        <w:t>2.2</w:t>
      </w:r>
      <w:r w:rsidR="004A439A">
        <w:fldChar w:fldCharType="end"/>
      </w:r>
      <w:r w:rsidR="004A439A">
        <w:t>.</w:t>
      </w:r>
    </w:p>
    <w:p w14:paraId="55087C47" w14:textId="4250C818" w:rsidR="00AE76AB" w:rsidRDefault="008C6185" w:rsidP="00AE76AB">
      <w:pPr>
        <w:pStyle w:val="Heading4"/>
        <w:numPr>
          <w:ilvl w:val="2"/>
          <w:numId w:val="42"/>
        </w:numPr>
        <w:ind w:left="709"/>
        <w:rPr>
          <w:sz w:val="28"/>
          <w:szCs w:val="22"/>
        </w:rPr>
      </w:pPr>
      <w:r>
        <w:rPr>
          <w:sz w:val="28"/>
          <w:szCs w:val="22"/>
        </w:rPr>
        <w:t>Mismatch</w:t>
      </w:r>
    </w:p>
    <w:p w14:paraId="7DBDF780" w14:textId="22E99782" w:rsidR="00AE76AB" w:rsidRDefault="003F44F9" w:rsidP="00AE76AB">
      <w:pPr>
        <w:pStyle w:val="ListParagraph"/>
        <w:numPr>
          <w:ilvl w:val="0"/>
          <w:numId w:val="0"/>
        </w:numPr>
      </w:pPr>
      <w:r>
        <w:t xml:space="preserve">In </w:t>
      </w:r>
      <w:r w:rsidR="000009CF">
        <w:t>p</w:t>
      </w:r>
      <w:r>
        <w:t>revious meeting, the following values where proposed:</w:t>
      </w:r>
    </w:p>
    <w:p w14:paraId="00B25FFC" w14:textId="006557ED" w:rsidR="003F44F9" w:rsidRDefault="006A6418" w:rsidP="003F44F9">
      <w:pPr>
        <w:pStyle w:val="ListParagraph"/>
        <w:numPr>
          <w:ilvl w:val="0"/>
          <w:numId w:val="45"/>
        </w:numPr>
      </w:pPr>
      <w:r>
        <w:fldChar w:fldCharType="begin"/>
      </w:r>
      <w:r>
        <w:instrText xml:space="preserve"> REF _Ref124155470 \r \h </w:instrText>
      </w:r>
      <w:r>
        <w:fldChar w:fldCharType="separate"/>
      </w:r>
      <w:r w:rsidR="005138DB">
        <w:t>[1]</w:t>
      </w:r>
      <w:r>
        <w:fldChar w:fldCharType="end"/>
      </w:r>
      <w:r w:rsidR="003F44F9">
        <w:t>: 1.4dB</w:t>
      </w:r>
      <w:r w:rsidR="00DD7896">
        <w:t xml:space="preserve"> in general. </w:t>
      </w:r>
      <w:r>
        <w:t>1.98dB for ACLR test.</w:t>
      </w:r>
    </w:p>
    <w:p w14:paraId="58E10953" w14:textId="2D2FE7FE" w:rsidR="003F44F9" w:rsidRDefault="006A6418" w:rsidP="003F44F9">
      <w:pPr>
        <w:pStyle w:val="ListParagraph"/>
        <w:numPr>
          <w:ilvl w:val="0"/>
          <w:numId w:val="45"/>
        </w:numPr>
      </w:pPr>
      <w:r>
        <w:fldChar w:fldCharType="begin"/>
      </w:r>
      <w:r>
        <w:instrText xml:space="preserve"> REF _Ref139874146 \r \h </w:instrText>
      </w:r>
      <w:r>
        <w:fldChar w:fldCharType="separate"/>
      </w:r>
      <w:r w:rsidR="005138DB">
        <w:t>[2]</w:t>
      </w:r>
      <w:r>
        <w:fldChar w:fldCharType="end"/>
      </w:r>
      <w:r w:rsidR="003F44F9">
        <w:t>: 1.7dB</w:t>
      </w:r>
      <w:r w:rsidR="00DD7896">
        <w:t xml:space="preserve"> in general. 2.4dB for ACLR test.</w:t>
      </w:r>
    </w:p>
    <w:p w14:paraId="77EE7610" w14:textId="73F44216" w:rsidR="006A6418" w:rsidRDefault="006A6418" w:rsidP="006A6418">
      <w:r w:rsidRPr="003A2D4D">
        <w:t>We are ok with both proposals.</w:t>
      </w:r>
      <w:r>
        <w:t xml:space="preserve"> Hence, as usual way forward, we propose to accept the highe</w:t>
      </w:r>
      <w:r w:rsidR="00D52FB0">
        <w:t>st</w:t>
      </w:r>
      <w:r>
        <w:t xml:space="preserve"> value among TE vendors.</w:t>
      </w:r>
    </w:p>
    <w:p w14:paraId="26E1464C" w14:textId="63163025" w:rsidR="006B794D" w:rsidRDefault="006B794D" w:rsidP="006B794D">
      <w:pPr>
        <w:pStyle w:val="Caption"/>
        <w:rPr>
          <w:b w:val="0"/>
          <w:bCs/>
        </w:rPr>
      </w:pPr>
      <w:bookmarkStart w:id="3" w:name="_Ref139880764"/>
      <w:r>
        <w:lastRenderedPageBreak/>
        <w:t xml:space="preserve">Proposal </w:t>
      </w:r>
      <w:r>
        <w:fldChar w:fldCharType="begin"/>
      </w:r>
      <w:r>
        <w:instrText xml:space="preserve"> SEQ Proposal \* ARABIC </w:instrText>
      </w:r>
      <w:r>
        <w:fldChar w:fldCharType="separate"/>
      </w:r>
      <w:r w:rsidR="005138DB">
        <w:rPr>
          <w:noProof/>
        </w:rPr>
        <w:t>1</w:t>
      </w:r>
      <w:r>
        <w:fldChar w:fldCharType="end"/>
      </w:r>
      <w:r w:rsidRPr="007E6ED0">
        <w:rPr>
          <w:bCs/>
        </w:rPr>
        <w:t>.</w:t>
      </w:r>
      <w:r w:rsidRPr="007E6ED0">
        <w:t xml:space="preserve"> </w:t>
      </w:r>
      <w:r>
        <w:rPr>
          <w:b w:val="0"/>
          <w:bCs/>
        </w:rPr>
        <w:t xml:space="preserve">For mismatch MU factor, accept proposal made in </w:t>
      </w:r>
      <w:r w:rsidR="00D044C7">
        <w:fldChar w:fldCharType="begin"/>
      </w:r>
      <w:r w:rsidR="00D044C7">
        <w:instrText xml:space="preserve"> REF _Ref139874146 \r \h </w:instrText>
      </w:r>
      <w:r w:rsidR="00D044C7">
        <w:fldChar w:fldCharType="separate"/>
      </w:r>
      <w:r w:rsidR="005138DB">
        <w:t>[2]</w:t>
      </w:r>
      <w:r w:rsidR="00D044C7">
        <w:fldChar w:fldCharType="end"/>
      </w:r>
      <w:r w:rsidR="00D044C7">
        <w:rPr>
          <w:b w:val="0"/>
          <w:bCs/>
        </w:rPr>
        <w:t xml:space="preserve">, reproduced here for convenience: </w:t>
      </w:r>
      <w:r w:rsidR="00CC3944">
        <w:rPr>
          <w:b w:val="0"/>
          <w:bCs/>
        </w:rPr>
        <w:t>“</w:t>
      </w:r>
      <w:r w:rsidR="00CC3944" w:rsidRPr="00886AD0">
        <w:rPr>
          <w:b w:val="0"/>
          <w:bCs/>
          <w:i/>
          <w:iCs/>
        </w:rPr>
        <w:t>Apply a mismatch uncertainty of 1.7 dB as default in the frequency range from 40.8 GHz to 44.3 GHz, CHBW ≤ 400 MHz, IFF and PC3. For ACLR specify a mismatch uncertainty of 2.4 dB</w:t>
      </w:r>
      <w:r w:rsidR="00CC3944">
        <w:rPr>
          <w:b w:val="0"/>
          <w:bCs/>
        </w:rPr>
        <w:t>”</w:t>
      </w:r>
      <w:r w:rsidR="00D044C7">
        <w:rPr>
          <w:b w:val="0"/>
          <w:bCs/>
        </w:rPr>
        <w:t>.</w:t>
      </w:r>
      <w:bookmarkEnd w:id="3"/>
    </w:p>
    <w:p w14:paraId="19396880" w14:textId="596FDC6F" w:rsidR="00B12E3A" w:rsidRDefault="008C6185" w:rsidP="00B12E3A">
      <w:pPr>
        <w:pStyle w:val="Heading4"/>
        <w:numPr>
          <w:ilvl w:val="2"/>
          <w:numId w:val="42"/>
        </w:numPr>
        <w:ind w:left="709"/>
        <w:rPr>
          <w:sz w:val="28"/>
          <w:szCs w:val="22"/>
        </w:rPr>
      </w:pPr>
      <w:r>
        <w:rPr>
          <w:sz w:val="28"/>
          <w:szCs w:val="22"/>
        </w:rPr>
        <w:t>QoQZ</w:t>
      </w:r>
    </w:p>
    <w:p w14:paraId="4A6AADF2" w14:textId="5E80C5B2" w:rsidR="00B12E3A" w:rsidRDefault="00886AD0" w:rsidP="00B12E3A">
      <w:pPr>
        <w:pStyle w:val="ListParagraph"/>
        <w:numPr>
          <w:ilvl w:val="0"/>
          <w:numId w:val="0"/>
        </w:numPr>
      </w:pPr>
      <w:r>
        <w:t xml:space="preserve">According to annex B.2.2 in </w:t>
      </w:r>
      <w:r>
        <w:fldChar w:fldCharType="begin"/>
      </w:r>
      <w:r>
        <w:instrText xml:space="preserve"> REF _Ref132624470 \r \h </w:instrText>
      </w:r>
      <w:r>
        <w:fldChar w:fldCharType="separate"/>
      </w:r>
      <w:r w:rsidR="005138DB">
        <w:t>[4]</w:t>
      </w:r>
      <w:r>
        <w:fldChar w:fldCharType="end"/>
      </w:r>
      <w:r>
        <w:t>, the other MU factor not defined yet for FR2c</w:t>
      </w:r>
      <w:r w:rsidR="0004513F">
        <w:t xml:space="preserve"> frequency range is QoQZ, that is not defined for ACLR test nor for ETC</w:t>
      </w:r>
      <w:r w:rsidR="003F772E">
        <w:t>,</w:t>
      </w:r>
      <w:r w:rsidR="003F772E" w:rsidRPr="00C138CD">
        <w:t xml:space="preserve"> in both normal operation and</w:t>
      </w:r>
      <w:r w:rsidR="003F772E">
        <w:t xml:space="preserve"> for</w:t>
      </w:r>
      <w:r w:rsidR="003F772E" w:rsidRPr="00C138CD">
        <w:t xml:space="preserve"> calibration process</w:t>
      </w:r>
      <w:r w:rsidR="00B12E3A">
        <w:t>.</w:t>
      </w:r>
    </w:p>
    <w:p w14:paraId="0A4E19D0" w14:textId="77777777" w:rsidR="00FA6EFB" w:rsidRDefault="00FA6EFB" w:rsidP="00FA6EFB">
      <w:r>
        <w:t>For ACLR test, given it is a relative measurement, it is proposed to use the same value currently defined for FR2a and FR2b.</w:t>
      </w:r>
    </w:p>
    <w:p w14:paraId="7140F024" w14:textId="4DE598CE" w:rsidR="00FA6EFB" w:rsidRPr="006558A2" w:rsidRDefault="00FA6EFB" w:rsidP="00FA6EFB">
      <w:pPr>
        <w:pStyle w:val="Caption"/>
        <w:rPr>
          <w:b w:val="0"/>
          <w:bCs/>
        </w:rPr>
      </w:pPr>
      <w:bookmarkStart w:id="4" w:name="_Ref132626085"/>
      <w:r w:rsidRPr="00C138CD">
        <w:t xml:space="preserve">Proposal </w:t>
      </w:r>
      <w:r w:rsidRPr="00C138CD">
        <w:fldChar w:fldCharType="begin"/>
      </w:r>
      <w:r w:rsidRPr="00C138CD">
        <w:instrText xml:space="preserve"> SEQ Proposal \* ARABIC </w:instrText>
      </w:r>
      <w:r w:rsidRPr="00C138CD">
        <w:fldChar w:fldCharType="separate"/>
      </w:r>
      <w:r w:rsidR="005138DB">
        <w:rPr>
          <w:noProof/>
        </w:rPr>
        <w:t>2</w:t>
      </w:r>
      <w:r w:rsidRPr="00C138CD">
        <w:fldChar w:fldCharType="end"/>
      </w:r>
      <w:r w:rsidRPr="00CF38D2">
        <w:t>.</w:t>
      </w:r>
      <w:r w:rsidRPr="00C138CD">
        <w:t xml:space="preserve"> </w:t>
      </w:r>
      <w:r>
        <w:rPr>
          <w:b w:val="0"/>
          <w:bCs/>
        </w:rPr>
        <w:t>For ACLR test case</w:t>
      </w:r>
      <w:r w:rsidRPr="006558A2">
        <w:rPr>
          <w:b w:val="0"/>
          <w:bCs/>
        </w:rPr>
        <w:t xml:space="preserve">, </w:t>
      </w:r>
      <w:r>
        <w:rPr>
          <w:b w:val="0"/>
          <w:bCs/>
        </w:rPr>
        <w:t xml:space="preserve">for FR2c to </w:t>
      </w:r>
      <w:r w:rsidRPr="006558A2">
        <w:rPr>
          <w:b w:val="0"/>
          <w:bCs/>
        </w:rPr>
        <w:t xml:space="preserve">define </w:t>
      </w:r>
      <w:r>
        <w:rPr>
          <w:b w:val="0"/>
          <w:bCs/>
        </w:rPr>
        <w:t>q</w:t>
      </w:r>
      <w:r w:rsidRPr="006558A2">
        <w:rPr>
          <w:b w:val="0"/>
          <w:bCs/>
        </w:rPr>
        <w:t>uality of quiet zone uncertainty</w:t>
      </w:r>
      <w:r>
        <w:rPr>
          <w:b w:val="0"/>
          <w:bCs/>
        </w:rPr>
        <w:t xml:space="preserve"> and q</w:t>
      </w:r>
      <w:r w:rsidRPr="000E7F36">
        <w:rPr>
          <w:b w:val="0"/>
          <w:bCs/>
        </w:rPr>
        <w:t xml:space="preserve">uality of the </w:t>
      </w:r>
      <w:r>
        <w:rPr>
          <w:b w:val="0"/>
          <w:bCs/>
        </w:rPr>
        <w:t>q</w:t>
      </w:r>
      <w:r w:rsidRPr="000E7F36">
        <w:rPr>
          <w:b w:val="0"/>
          <w:bCs/>
        </w:rPr>
        <w:t xml:space="preserve">uiet </w:t>
      </w:r>
      <w:r>
        <w:rPr>
          <w:b w:val="0"/>
          <w:bCs/>
        </w:rPr>
        <w:t>z</w:t>
      </w:r>
      <w:r w:rsidRPr="000E7F36">
        <w:rPr>
          <w:b w:val="0"/>
          <w:bCs/>
        </w:rPr>
        <w:t xml:space="preserve">one for </w:t>
      </w:r>
      <w:r>
        <w:rPr>
          <w:b w:val="0"/>
          <w:bCs/>
        </w:rPr>
        <w:t>c</w:t>
      </w:r>
      <w:r w:rsidRPr="000E7F36">
        <w:rPr>
          <w:b w:val="0"/>
          <w:bCs/>
        </w:rPr>
        <w:t xml:space="preserve">alibration </w:t>
      </w:r>
      <w:r>
        <w:rPr>
          <w:b w:val="0"/>
          <w:bCs/>
        </w:rPr>
        <w:t>p</w:t>
      </w:r>
      <w:r w:rsidRPr="000E7F36">
        <w:rPr>
          <w:b w:val="0"/>
          <w:bCs/>
        </w:rPr>
        <w:t>rocess</w:t>
      </w:r>
      <w:r>
        <w:rPr>
          <w:b w:val="0"/>
          <w:bCs/>
        </w:rPr>
        <w:t xml:space="preserve"> the same as defined respectively for FR2a and FR2b</w:t>
      </w:r>
      <w:r w:rsidRPr="006558A2">
        <w:rPr>
          <w:b w:val="0"/>
          <w:bCs/>
        </w:rPr>
        <w:t>.</w:t>
      </w:r>
      <w:bookmarkEnd w:id="4"/>
    </w:p>
    <w:p w14:paraId="41780713" w14:textId="77777777" w:rsidR="00C35AD8" w:rsidRDefault="00C35AD8" w:rsidP="00B12E3A">
      <w:pPr>
        <w:pStyle w:val="ListParagraph"/>
        <w:numPr>
          <w:ilvl w:val="0"/>
          <w:numId w:val="0"/>
        </w:numPr>
        <w:rPr>
          <w:lang w:val="en-GB"/>
        </w:rPr>
      </w:pPr>
    </w:p>
    <w:p w14:paraId="72939745" w14:textId="6CB87D89" w:rsidR="00B12E3A" w:rsidRPr="00872E39" w:rsidRDefault="00F8433D" w:rsidP="00872E39">
      <w:pPr>
        <w:pStyle w:val="ListParagraph"/>
        <w:numPr>
          <w:ilvl w:val="0"/>
          <w:numId w:val="0"/>
        </w:numPr>
        <w:rPr>
          <w:lang w:val="en-GB"/>
        </w:rPr>
      </w:pPr>
      <w:r>
        <w:rPr>
          <w:lang w:val="en-GB"/>
        </w:rPr>
        <w:t xml:space="preserve">Regarding defining QoQZ MU factor </w:t>
      </w:r>
      <w:r w:rsidR="00C35AD8">
        <w:rPr>
          <w:lang w:val="en-GB"/>
        </w:rPr>
        <w:t>for ETC, more time is required.</w:t>
      </w:r>
    </w:p>
    <w:p w14:paraId="0F346C94" w14:textId="2209D592" w:rsidR="00394D7F" w:rsidRPr="00423F6F" w:rsidRDefault="00D87BFA" w:rsidP="00394D7F">
      <w:pPr>
        <w:pStyle w:val="Heading2"/>
        <w:numPr>
          <w:ilvl w:val="1"/>
          <w:numId w:val="42"/>
        </w:numPr>
        <w:overflowPunct w:val="0"/>
        <w:autoSpaceDE w:val="0"/>
        <w:autoSpaceDN w:val="0"/>
        <w:adjustRightInd w:val="0"/>
        <w:ind w:left="709" w:hanging="709"/>
        <w:textAlignment w:val="baseline"/>
        <w:rPr>
          <w:rFonts w:eastAsia="Times New Roman"/>
          <w:lang w:eastAsia="en-GB"/>
        </w:rPr>
      </w:pPr>
      <w:bookmarkStart w:id="5" w:name="_Ref139875643"/>
      <w:r>
        <w:rPr>
          <w:rFonts w:eastAsia="Times New Roman"/>
          <w:lang w:eastAsia="en-GB"/>
        </w:rPr>
        <w:t>Test cases</w:t>
      </w:r>
      <w:bookmarkEnd w:id="5"/>
    </w:p>
    <w:p w14:paraId="40568D36" w14:textId="708D8926" w:rsidR="00B7019B" w:rsidRDefault="00D87BFA" w:rsidP="00B7019B">
      <w:pPr>
        <w:pStyle w:val="Heading4"/>
        <w:numPr>
          <w:ilvl w:val="2"/>
          <w:numId w:val="42"/>
        </w:numPr>
        <w:ind w:left="709"/>
        <w:rPr>
          <w:sz w:val="28"/>
          <w:szCs w:val="22"/>
        </w:rPr>
      </w:pPr>
      <w:r>
        <w:rPr>
          <w:sz w:val="28"/>
          <w:szCs w:val="22"/>
        </w:rPr>
        <w:t>MOP</w:t>
      </w:r>
      <w:r w:rsidR="00932A19">
        <w:rPr>
          <w:sz w:val="28"/>
          <w:szCs w:val="22"/>
        </w:rPr>
        <w:t>-</w:t>
      </w:r>
      <w:r>
        <w:rPr>
          <w:sz w:val="28"/>
          <w:szCs w:val="22"/>
        </w:rPr>
        <w:t>EIRP and MOP-TRP</w:t>
      </w:r>
    </w:p>
    <w:p w14:paraId="691B10B2" w14:textId="121E3092" w:rsidR="00872E39" w:rsidRDefault="00872E39" w:rsidP="00872E39">
      <w:r>
        <w:t xml:space="preserve">For </w:t>
      </w:r>
      <w:r w:rsidRPr="00696A83">
        <w:rPr>
          <w:bCs/>
        </w:rPr>
        <w:t>MOP-EIRP</w:t>
      </w:r>
      <w:r>
        <w:rPr>
          <w:bCs/>
        </w:rPr>
        <w:t xml:space="preserve"> and</w:t>
      </w:r>
      <w:r w:rsidRPr="00696A83">
        <w:rPr>
          <w:bCs/>
        </w:rPr>
        <w:t xml:space="preserve"> MOP-TRP </w:t>
      </w:r>
      <w:r>
        <w:t xml:space="preserve">it is proposed to assume for FR2c the same influence of noise defined respectively for FR2b. </w:t>
      </w:r>
    </w:p>
    <w:p w14:paraId="2CFFB6F8" w14:textId="4F1B9DC7" w:rsidR="00872E39" w:rsidRDefault="00872E39" w:rsidP="00872E39">
      <w:pPr>
        <w:pStyle w:val="ListParagraph"/>
        <w:numPr>
          <w:ilvl w:val="0"/>
          <w:numId w:val="0"/>
        </w:numPr>
        <w:rPr>
          <w:bCs/>
        </w:rPr>
      </w:pPr>
      <w:bookmarkStart w:id="6" w:name="_Ref139880775"/>
      <w:r w:rsidRPr="00872E39">
        <w:rPr>
          <w:b/>
          <w:bCs/>
        </w:rPr>
        <w:t xml:space="preserve">Proposal </w:t>
      </w:r>
      <w:r w:rsidRPr="00872E39">
        <w:rPr>
          <w:b/>
          <w:bCs/>
        </w:rPr>
        <w:fldChar w:fldCharType="begin"/>
      </w:r>
      <w:r w:rsidRPr="00872E39">
        <w:rPr>
          <w:b/>
          <w:bCs/>
        </w:rPr>
        <w:instrText xml:space="preserve"> SEQ Proposal \* ARABIC </w:instrText>
      </w:r>
      <w:r w:rsidRPr="00872E39">
        <w:rPr>
          <w:b/>
          <w:bCs/>
        </w:rPr>
        <w:fldChar w:fldCharType="separate"/>
      </w:r>
      <w:r w:rsidR="005138DB">
        <w:rPr>
          <w:b/>
          <w:bCs/>
          <w:noProof/>
        </w:rPr>
        <w:t>3</w:t>
      </w:r>
      <w:r w:rsidRPr="00872E39">
        <w:rPr>
          <w:b/>
          <w:bCs/>
        </w:rPr>
        <w:fldChar w:fldCharType="end"/>
      </w:r>
      <w:r w:rsidRPr="00872E39">
        <w:rPr>
          <w:b/>
          <w:bCs/>
        </w:rPr>
        <w:t>.</w:t>
      </w:r>
      <w:r w:rsidRPr="007E6ED0">
        <w:t xml:space="preserve"> </w:t>
      </w:r>
      <w:r>
        <w:rPr>
          <w:bCs/>
        </w:rPr>
        <w:t>For</w:t>
      </w:r>
      <w:r w:rsidRPr="00696A83">
        <w:rPr>
          <w:bCs/>
        </w:rPr>
        <w:t xml:space="preserve"> MOP-EIRP</w:t>
      </w:r>
      <w:r>
        <w:rPr>
          <w:bCs/>
        </w:rPr>
        <w:t xml:space="preserve"> and</w:t>
      </w:r>
      <w:r w:rsidRPr="00696A83">
        <w:rPr>
          <w:bCs/>
        </w:rPr>
        <w:t xml:space="preserve"> MOP-TRP</w:t>
      </w:r>
      <w:r>
        <w:rPr>
          <w:bCs/>
        </w:rPr>
        <w:t xml:space="preserve">, </w:t>
      </w:r>
      <w:r w:rsidRPr="00696A83">
        <w:rPr>
          <w:bCs/>
        </w:rPr>
        <w:t>proposed to assume for FR2c the same influence of noise defined respectively for FR2b</w:t>
      </w:r>
      <w:r>
        <w:rPr>
          <w:bCs/>
        </w:rPr>
        <w:t>.</w:t>
      </w:r>
      <w:bookmarkEnd w:id="6"/>
    </w:p>
    <w:p w14:paraId="6C0E2AA6" w14:textId="77777777" w:rsidR="005E7DEC" w:rsidRDefault="005E7DEC" w:rsidP="00872E39">
      <w:pPr>
        <w:pStyle w:val="ListParagraph"/>
        <w:numPr>
          <w:ilvl w:val="0"/>
          <w:numId w:val="0"/>
        </w:numPr>
        <w:rPr>
          <w:bCs/>
        </w:rPr>
      </w:pPr>
    </w:p>
    <w:p w14:paraId="367DA6D8" w14:textId="1A791C88" w:rsidR="005E7DEC" w:rsidRDefault="004E1755" w:rsidP="00872E39">
      <w:pPr>
        <w:pStyle w:val="ListParagraph"/>
        <w:numPr>
          <w:ilvl w:val="0"/>
          <w:numId w:val="0"/>
        </w:numPr>
        <w:rPr>
          <w:bCs/>
        </w:rPr>
      </w:pPr>
      <w:r>
        <w:rPr>
          <w:bCs/>
        </w:rPr>
        <w:t xml:space="preserve">Considering </w:t>
      </w:r>
      <w:r w:rsidR="00481AD0">
        <w:rPr>
          <w:bCs/>
        </w:rPr>
        <w:t xml:space="preserve">both the proposed </w:t>
      </w:r>
      <w:r w:rsidR="00DA565A">
        <w:rPr>
          <w:bCs/>
        </w:rPr>
        <w:t xml:space="preserve">influence of noise and </w:t>
      </w:r>
      <w:r w:rsidR="0017743A">
        <w:rPr>
          <w:bCs/>
        </w:rPr>
        <w:t xml:space="preserve">the mismatch proposal, </w:t>
      </w:r>
      <w:r w:rsidR="00DA565A">
        <w:rPr>
          <w:bCs/>
        </w:rPr>
        <w:t>these</w:t>
      </w:r>
      <w:r w:rsidR="0017743A">
        <w:rPr>
          <w:bCs/>
        </w:rPr>
        <w:t xml:space="preserve"> would be the resulting MTSU and TT for these 2 test cases:</w:t>
      </w:r>
    </w:p>
    <w:p w14:paraId="3EE475CE" w14:textId="77777777" w:rsidR="0017743A" w:rsidRDefault="0017743A" w:rsidP="00872E39">
      <w:pPr>
        <w:pStyle w:val="ListParagraph"/>
        <w:numPr>
          <w:ilvl w:val="0"/>
          <w:numId w:val="0"/>
        </w:numPr>
        <w:rPr>
          <w:bCs/>
        </w:rPr>
      </w:pPr>
    </w:p>
    <w:tbl>
      <w:tblPr>
        <w:tblStyle w:val="TableGrid"/>
        <w:tblW w:w="0" w:type="auto"/>
        <w:tblLook w:val="04A0" w:firstRow="1" w:lastRow="0" w:firstColumn="1" w:lastColumn="0" w:noHBand="0" w:noVBand="1"/>
      </w:tblPr>
      <w:tblGrid>
        <w:gridCol w:w="3210"/>
        <w:gridCol w:w="3210"/>
        <w:gridCol w:w="3211"/>
      </w:tblGrid>
      <w:tr w:rsidR="007D38CE" w14:paraId="595D4F13" w14:textId="77777777" w:rsidTr="007D38CE">
        <w:tc>
          <w:tcPr>
            <w:tcW w:w="3210" w:type="dxa"/>
          </w:tcPr>
          <w:p w14:paraId="6A971B67" w14:textId="4A5756B1" w:rsidR="007D38CE" w:rsidRPr="0072414B" w:rsidRDefault="007D38CE" w:rsidP="0072414B">
            <w:pPr>
              <w:pStyle w:val="ListParagraph"/>
              <w:numPr>
                <w:ilvl w:val="0"/>
                <w:numId w:val="0"/>
              </w:numPr>
              <w:jc w:val="center"/>
              <w:rPr>
                <w:b/>
                <w:bCs/>
              </w:rPr>
            </w:pPr>
            <w:r w:rsidRPr="0072414B">
              <w:rPr>
                <w:b/>
                <w:bCs/>
              </w:rPr>
              <w:t>Test Case</w:t>
            </w:r>
          </w:p>
        </w:tc>
        <w:tc>
          <w:tcPr>
            <w:tcW w:w="3210" w:type="dxa"/>
          </w:tcPr>
          <w:p w14:paraId="42033FBF" w14:textId="69F93DB6" w:rsidR="007D38CE" w:rsidRPr="0072414B" w:rsidRDefault="007D38CE" w:rsidP="0072414B">
            <w:pPr>
              <w:pStyle w:val="ListParagraph"/>
              <w:numPr>
                <w:ilvl w:val="0"/>
                <w:numId w:val="0"/>
              </w:numPr>
              <w:jc w:val="center"/>
              <w:rPr>
                <w:b/>
                <w:bCs/>
              </w:rPr>
            </w:pPr>
            <w:r w:rsidRPr="0072414B">
              <w:rPr>
                <w:b/>
                <w:bCs/>
              </w:rPr>
              <w:t>MTSU</w:t>
            </w:r>
          </w:p>
        </w:tc>
        <w:tc>
          <w:tcPr>
            <w:tcW w:w="3211" w:type="dxa"/>
          </w:tcPr>
          <w:p w14:paraId="11B1497F" w14:textId="2B573FCB" w:rsidR="007D38CE" w:rsidRPr="0072414B" w:rsidRDefault="007D38CE" w:rsidP="0072414B">
            <w:pPr>
              <w:pStyle w:val="ListParagraph"/>
              <w:numPr>
                <w:ilvl w:val="0"/>
                <w:numId w:val="0"/>
              </w:numPr>
              <w:jc w:val="center"/>
              <w:rPr>
                <w:b/>
                <w:bCs/>
              </w:rPr>
            </w:pPr>
            <w:r w:rsidRPr="0072414B">
              <w:rPr>
                <w:b/>
                <w:bCs/>
              </w:rPr>
              <w:t>TT</w:t>
            </w:r>
          </w:p>
        </w:tc>
      </w:tr>
      <w:tr w:rsidR="007D38CE" w14:paraId="33DD57D5" w14:textId="77777777" w:rsidTr="007D38CE">
        <w:tc>
          <w:tcPr>
            <w:tcW w:w="3210" w:type="dxa"/>
          </w:tcPr>
          <w:p w14:paraId="6BAF5FBF" w14:textId="74F2D300" w:rsidR="007D38CE" w:rsidRPr="0072414B" w:rsidRDefault="0072414B" w:rsidP="00872E39">
            <w:pPr>
              <w:pStyle w:val="ListParagraph"/>
              <w:numPr>
                <w:ilvl w:val="0"/>
                <w:numId w:val="0"/>
              </w:numPr>
              <w:rPr>
                <w:bCs/>
              </w:rPr>
            </w:pPr>
            <w:r w:rsidRPr="0072414B">
              <w:rPr>
                <w:bCs/>
              </w:rPr>
              <w:t>MOP EIRP</w:t>
            </w:r>
          </w:p>
        </w:tc>
        <w:tc>
          <w:tcPr>
            <w:tcW w:w="3210" w:type="dxa"/>
          </w:tcPr>
          <w:p w14:paraId="41F9060B" w14:textId="7D42F83B" w:rsidR="007D38CE" w:rsidRDefault="000B4B8B" w:rsidP="000B4B8B">
            <w:pPr>
              <w:pStyle w:val="ListParagraph"/>
              <w:numPr>
                <w:ilvl w:val="0"/>
                <w:numId w:val="0"/>
              </w:numPr>
              <w:jc w:val="center"/>
            </w:pPr>
            <w:r>
              <w:t>5.91dB</w:t>
            </w:r>
            <w:r w:rsidR="00551864">
              <w:t xml:space="preserve"> </w:t>
            </w:r>
            <w:r w:rsidR="00551864" w:rsidRPr="00F457E4">
              <w:rPr>
                <w:rFonts w:cs="Arial"/>
                <w:bCs/>
                <w:color w:val="000000"/>
                <w:szCs w:val="18"/>
                <w:lang w:val="es-ES"/>
              </w:rPr>
              <w:t>(FR2c, NTC)</w:t>
            </w:r>
          </w:p>
        </w:tc>
        <w:tc>
          <w:tcPr>
            <w:tcW w:w="3211" w:type="dxa"/>
          </w:tcPr>
          <w:p w14:paraId="6681D082" w14:textId="09DB87E4" w:rsidR="005C4830" w:rsidRDefault="005C4830" w:rsidP="000B4B8B">
            <w:pPr>
              <w:pStyle w:val="ListParagraph"/>
              <w:numPr>
                <w:ilvl w:val="0"/>
                <w:numId w:val="0"/>
              </w:numPr>
              <w:jc w:val="center"/>
              <w:rPr>
                <w:rFonts w:cs="Arial"/>
                <w:bCs/>
                <w:color w:val="000000"/>
                <w:szCs w:val="18"/>
              </w:rPr>
            </w:pPr>
            <w:r>
              <w:rPr>
                <w:rFonts w:cs="Arial"/>
                <w:bCs/>
                <w:color w:val="000000"/>
                <w:szCs w:val="18"/>
              </w:rPr>
              <w:t xml:space="preserve">3.37dB </w:t>
            </w:r>
            <w:r w:rsidR="00551864" w:rsidRPr="00F24B06">
              <w:rPr>
                <w:rFonts w:cs="Arial"/>
                <w:bCs/>
                <w:color w:val="000000"/>
                <w:szCs w:val="18"/>
              </w:rPr>
              <w:t>(FR2c, NTC)</w:t>
            </w:r>
            <w:r w:rsidR="00F24B06" w:rsidRPr="00F24B06">
              <w:rPr>
                <w:rFonts w:cs="Arial"/>
                <w:bCs/>
                <w:color w:val="000000"/>
                <w:szCs w:val="18"/>
              </w:rPr>
              <w:t xml:space="preserve">; </w:t>
            </w:r>
          </w:p>
          <w:p w14:paraId="09699DF4" w14:textId="7962270D" w:rsidR="007D38CE" w:rsidRDefault="00F24B06" w:rsidP="000B4B8B">
            <w:pPr>
              <w:pStyle w:val="ListParagraph"/>
              <w:numPr>
                <w:ilvl w:val="0"/>
                <w:numId w:val="0"/>
              </w:numPr>
              <w:jc w:val="center"/>
            </w:pPr>
            <w:r w:rsidRPr="00F24B06">
              <w:rPr>
                <w:rFonts w:cs="Arial"/>
                <w:bCs/>
                <w:color w:val="000000"/>
                <w:szCs w:val="18"/>
              </w:rPr>
              <w:t>TT</w:t>
            </w:r>
            <w:r w:rsidR="00900219">
              <w:rPr>
                <w:rFonts w:cs="Arial"/>
                <w:bCs/>
                <w:color w:val="000000"/>
                <w:szCs w:val="18"/>
              </w:rPr>
              <w:t xml:space="preserve"> </w:t>
            </w:r>
            <w:r w:rsidRPr="009A4211">
              <w:t>= 0.60 x (MTSU</w:t>
            </w:r>
            <w:r w:rsidRPr="009A4211">
              <w:rPr>
                <w:vertAlign w:val="subscript"/>
              </w:rPr>
              <w:t>IFF</w:t>
            </w:r>
            <w:r w:rsidRPr="009A4211">
              <w:t xml:space="preserve"> - 0.3)</w:t>
            </w:r>
          </w:p>
        </w:tc>
      </w:tr>
      <w:tr w:rsidR="007D38CE" w14:paraId="389FA3F5" w14:textId="77777777" w:rsidTr="007D38CE">
        <w:tc>
          <w:tcPr>
            <w:tcW w:w="3210" w:type="dxa"/>
          </w:tcPr>
          <w:p w14:paraId="4D7F5714" w14:textId="4201521B" w:rsidR="007D38CE" w:rsidRPr="0072414B" w:rsidRDefault="0072414B" w:rsidP="00872E39">
            <w:pPr>
              <w:pStyle w:val="ListParagraph"/>
              <w:numPr>
                <w:ilvl w:val="0"/>
                <w:numId w:val="0"/>
              </w:numPr>
              <w:rPr>
                <w:bCs/>
              </w:rPr>
            </w:pPr>
            <w:r w:rsidRPr="0072414B">
              <w:rPr>
                <w:bCs/>
              </w:rPr>
              <w:t>MOP-TRP</w:t>
            </w:r>
          </w:p>
        </w:tc>
        <w:tc>
          <w:tcPr>
            <w:tcW w:w="3210" w:type="dxa"/>
          </w:tcPr>
          <w:p w14:paraId="293C65CC" w14:textId="5E17523D" w:rsidR="007D38CE" w:rsidRDefault="00C65441" w:rsidP="000B4B8B">
            <w:pPr>
              <w:pStyle w:val="ListParagraph"/>
              <w:numPr>
                <w:ilvl w:val="0"/>
                <w:numId w:val="0"/>
              </w:numPr>
              <w:jc w:val="center"/>
            </w:pPr>
            <w:r>
              <w:t>5.44dB</w:t>
            </w:r>
            <w:r w:rsidR="00551864">
              <w:t xml:space="preserve"> </w:t>
            </w:r>
            <w:r w:rsidR="00551864" w:rsidRPr="00F457E4">
              <w:rPr>
                <w:rFonts w:cs="Arial"/>
                <w:bCs/>
                <w:color w:val="000000"/>
                <w:szCs w:val="18"/>
                <w:lang w:val="es-ES"/>
              </w:rPr>
              <w:t>(FR2c, NTC)</w:t>
            </w:r>
          </w:p>
        </w:tc>
        <w:tc>
          <w:tcPr>
            <w:tcW w:w="3211" w:type="dxa"/>
          </w:tcPr>
          <w:p w14:paraId="48EDA08C" w14:textId="0D1C6364" w:rsidR="005C4830" w:rsidRDefault="00E87E9B" w:rsidP="000B4B8B">
            <w:pPr>
              <w:pStyle w:val="ListParagraph"/>
              <w:numPr>
                <w:ilvl w:val="0"/>
                <w:numId w:val="0"/>
              </w:numPr>
              <w:jc w:val="center"/>
              <w:rPr>
                <w:rFonts w:cs="Arial"/>
                <w:bCs/>
                <w:color w:val="000000"/>
                <w:szCs w:val="18"/>
              </w:rPr>
            </w:pPr>
            <w:r>
              <w:rPr>
                <w:rFonts w:cs="Arial"/>
                <w:bCs/>
                <w:color w:val="000000"/>
                <w:szCs w:val="18"/>
              </w:rPr>
              <w:t xml:space="preserve">3.26dB </w:t>
            </w:r>
            <w:r w:rsidR="00551864" w:rsidRPr="00F24B06">
              <w:rPr>
                <w:rFonts w:cs="Arial"/>
                <w:bCs/>
                <w:color w:val="000000"/>
                <w:szCs w:val="18"/>
              </w:rPr>
              <w:t>(FR2c, NTC)</w:t>
            </w:r>
            <w:r w:rsidR="00F24B06" w:rsidRPr="00F24B06">
              <w:rPr>
                <w:rFonts w:cs="Arial"/>
                <w:bCs/>
                <w:color w:val="000000"/>
                <w:szCs w:val="18"/>
              </w:rPr>
              <w:t xml:space="preserve">; </w:t>
            </w:r>
          </w:p>
          <w:p w14:paraId="0D19FA2F" w14:textId="458121D2" w:rsidR="007D38CE" w:rsidRDefault="00F24B06" w:rsidP="000B4B8B">
            <w:pPr>
              <w:pStyle w:val="ListParagraph"/>
              <w:numPr>
                <w:ilvl w:val="0"/>
                <w:numId w:val="0"/>
              </w:numPr>
              <w:jc w:val="center"/>
            </w:pPr>
            <w:r w:rsidRPr="00F24B06">
              <w:rPr>
                <w:rFonts w:cs="Arial"/>
                <w:bCs/>
                <w:color w:val="000000"/>
                <w:szCs w:val="18"/>
              </w:rPr>
              <w:t>TT</w:t>
            </w:r>
            <w:r w:rsidR="00900219">
              <w:rPr>
                <w:rFonts w:cs="Arial"/>
                <w:bCs/>
                <w:color w:val="000000"/>
                <w:szCs w:val="18"/>
              </w:rPr>
              <w:t xml:space="preserve"> </w:t>
            </w:r>
            <w:r w:rsidRPr="009A4211">
              <w:t>= 0.60 x MTSU</w:t>
            </w:r>
            <w:r w:rsidRPr="009A4211">
              <w:rPr>
                <w:vertAlign w:val="subscript"/>
              </w:rPr>
              <w:t>IFF</w:t>
            </w:r>
          </w:p>
        </w:tc>
      </w:tr>
    </w:tbl>
    <w:p w14:paraId="4D02A010" w14:textId="6094417D" w:rsidR="0017743A" w:rsidRDefault="00932A19" w:rsidP="00695646">
      <w:pPr>
        <w:pStyle w:val="ListParagraph"/>
        <w:numPr>
          <w:ilvl w:val="0"/>
          <w:numId w:val="0"/>
        </w:numPr>
        <w:jc w:val="center"/>
      </w:pPr>
      <w:r w:rsidRPr="00695646">
        <w:rPr>
          <w:b/>
          <w:bCs/>
        </w:rPr>
        <w:t>Table 2.2.1-1.</w:t>
      </w:r>
      <w:r>
        <w:t xml:space="preserve"> MTSU</w:t>
      </w:r>
      <w:r w:rsidR="00695646">
        <w:t xml:space="preserve"> and TT</w:t>
      </w:r>
      <w:r>
        <w:t xml:space="preserve"> for MOP-EIRP and MOP</w:t>
      </w:r>
      <w:r w:rsidR="00695646">
        <w:t xml:space="preserve">-TRP </w:t>
      </w:r>
      <w:r w:rsidR="00044CF7">
        <w:t>in</w:t>
      </w:r>
      <w:r w:rsidR="00695646">
        <w:t xml:space="preserve"> FR2c.</w:t>
      </w:r>
    </w:p>
    <w:p w14:paraId="5A6E7DE5" w14:textId="19E9FFA2" w:rsidR="00B7019B" w:rsidRDefault="00757CE6" w:rsidP="00B7019B">
      <w:pPr>
        <w:pStyle w:val="Heading4"/>
        <w:numPr>
          <w:ilvl w:val="2"/>
          <w:numId w:val="42"/>
        </w:numPr>
        <w:ind w:left="709"/>
        <w:rPr>
          <w:sz w:val="28"/>
          <w:szCs w:val="22"/>
        </w:rPr>
      </w:pPr>
      <w:r>
        <w:rPr>
          <w:sz w:val="28"/>
          <w:szCs w:val="22"/>
        </w:rPr>
        <w:t>Frequency Error</w:t>
      </w:r>
    </w:p>
    <w:p w14:paraId="5BE0AA22" w14:textId="741DBD77" w:rsidR="0094491B" w:rsidRDefault="00A35801" w:rsidP="0094491B">
      <w:pPr>
        <w:pStyle w:val="ListParagraph"/>
        <w:numPr>
          <w:ilvl w:val="0"/>
          <w:numId w:val="0"/>
        </w:numPr>
        <w:rPr>
          <w:rFonts w:eastAsiaTheme="minorEastAsia"/>
        </w:rPr>
      </w:pPr>
      <w:r>
        <w:t>Frequency error MTSU is defined in ppm</w:t>
      </w:r>
      <w:r w:rsidR="00EF54B4">
        <w:t xml:space="preserve">, hence </w:t>
      </w:r>
      <w:r w:rsidR="00C66260">
        <w:t>proportional</w:t>
      </w:r>
      <w:r w:rsidR="00EF54B4">
        <w:t xml:space="preserve"> to the frequency </w:t>
      </w:r>
      <w:r w:rsidR="00C66260">
        <w:t xml:space="preserve">to measure. </w:t>
      </w:r>
      <w:r w:rsidR="00B9469C">
        <w:t>It is current</w:t>
      </w:r>
      <w:r w:rsidR="00D7037F">
        <w:t>ly</w:t>
      </w:r>
      <w:r w:rsidR="00B9469C">
        <w:t xml:space="preserve"> defined to +/-0.01ppm for FR2a and FR2b and there is nothing to suggest a different value for FR2c, </w:t>
      </w:r>
      <w:r w:rsidR="0094491B">
        <w:t>so to use the same MTSU is proposed.</w:t>
      </w:r>
    </w:p>
    <w:p w14:paraId="13EEA675" w14:textId="77777777" w:rsidR="00987E49" w:rsidRDefault="00987E49" w:rsidP="00B7019B">
      <w:pPr>
        <w:pStyle w:val="ListParagraph"/>
        <w:numPr>
          <w:ilvl w:val="0"/>
          <w:numId w:val="0"/>
        </w:numPr>
        <w:rPr>
          <w:rFonts w:eastAsiaTheme="minorEastAsia"/>
        </w:rPr>
      </w:pPr>
    </w:p>
    <w:p w14:paraId="257BF5B9" w14:textId="0A28D2E6" w:rsidR="00987E49" w:rsidRPr="0034011D" w:rsidRDefault="00987E49" w:rsidP="00B7019B">
      <w:pPr>
        <w:pStyle w:val="ListParagraph"/>
        <w:numPr>
          <w:ilvl w:val="0"/>
          <w:numId w:val="0"/>
        </w:numPr>
        <w:rPr>
          <w:bCs/>
        </w:rPr>
      </w:pPr>
      <w:bookmarkStart w:id="7" w:name="_Ref139880780"/>
      <w:r w:rsidRPr="00872E39">
        <w:rPr>
          <w:b/>
          <w:bCs/>
        </w:rPr>
        <w:t xml:space="preserve">Proposal </w:t>
      </w:r>
      <w:r w:rsidRPr="00872E39">
        <w:rPr>
          <w:b/>
          <w:bCs/>
        </w:rPr>
        <w:fldChar w:fldCharType="begin"/>
      </w:r>
      <w:r w:rsidRPr="00872E39">
        <w:rPr>
          <w:b/>
          <w:bCs/>
        </w:rPr>
        <w:instrText xml:space="preserve"> SEQ Proposal \* ARABIC </w:instrText>
      </w:r>
      <w:r w:rsidRPr="00872E39">
        <w:rPr>
          <w:b/>
          <w:bCs/>
        </w:rPr>
        <w:fldChar w:fldCharType="separate"/>
      </w:r>
      <w:r w:rsidR="005138DB">
        <w:rPr>
          <w:b/>
          <w:bCs/>
          <w:noProof/>
        </w:rPr>
        <w:t>4</w:t>
      </w:r>
      <w:r w:rsidRPr="00872E39">
        <w:rPr>
          <w:b/>
          <w:bCs/>
        </w:rPr>
        <w:fldChar w:fldCharType="end"/>
      </w:r>
      <w:r w:rsidRPr="00872E39">
        <w:rPr>
          <w:b/>
          <w:bCs/>
        </w:rPr>
        <w:t>.</w:t>
      </w:r>
      <w:r w:rsidRPr="007E6ED0">
        <w:t xml:space="preserve"> </w:t>
      </w:r>
      <w:r w:rsidR="0086041F">
        <w:t>For f</w:t>
      </w:r>
      <w:r>
        <w:rPr>
          <w:bCs/>
        </w:rPr>
        <w:t>requency error test case, define MTSU</w:t>
      </w:r>
      <w:r w:rsidR="00A35801">
        <w:rPr>
          <w:bCs/>
        </w:rPr>
        <w:t xml:space="preserve"> for FR2c to +/-0.01ppm, as currently defined for FR2a and FR2b.</w:t>
      </w:r>
      <w:bookmarkEnd w:id="7"/>
      <w:r>
        <w:rPr>
          <w:bCs/>
        </w:rPr>
        <w:t xml:space="preserve"> </w:t>
      </w:r>
    </w:p>
    <w:p w14:paraId="22C20A1E" w14:textId="77153E4B" w:rsidR="00D87BFA" w:rsidRDefault="00F03B85" w:rsidP="00D87BFA">
      <w:pPr>
        <w:pStyle w:val="Heading4"/>
        <w:numPr>
          <w:ilvl w:val="2"/>
          <w:numId w:val="42"/>
        </w:numPr>
        <w:ind w:left="709"/>
        <w:rPr>
          <w:sz w:val="28"/>
          <w:szCs w:val="22"/>
        </w:rPr>
      </w:pPr>
      <w:r>
        <w:rPr>
          <w:sz w:val="28"/>
          <w:szCs w:val="22"/>
        </w:rPr>
        <w:t>REFSENS and EIS</w:t>
      </w:r>
      <w:r w:rsidR="009D487E">
        <w:rPr>
          <w:sz w:val="28"/>
          <w:szCs w:val="22"/>
        </w:rPr>
        <w:t xml:space="preserve"> Spherical Coverage</w:t>
      </w:r>
      <w:r>
        <w:rPr>
          <w:sz w:val="28"/>
          <w:szCs w:val="22"/>
        </w:rPr>
        <w:t xml:space="preserve"> </w:t>
      </w:r>
    </w:p>
    <w:p w14:paraId="090AD367" w14:textId="2E1899CE" w:rsidR="00D87BFA" w:rsidRDefault="0014506D" w:rsidP="00D87BFA">
      <w:pPr>
        <w:pStyle w:val="ListParagraph"/>
        <w:numPr>
          <w:ilvl w:val="0"/>
          <w:numId w:val="0"/>
        </w:numPr>
      </w:pPr>
      <w:r>
        <w:t>DL power level required for FR2c in these 2 test cases</w:t>
      </w:r>
      <w:r w:rsidR="00C07E68">
        <w:t xml:space="preserve"> is just </w:t>
      </w:r>
      <w:r w:rsidR="00821DA8">
        <w:t xml:space="preserve">1dB higher to the value required for FR2b. </w:t>
      </w:r>
      <w:r w:rsidR="00164D99">
        <w:t>No relaxation or testability issue is expected</w:t>
      </w:r>
      <w:r w:rsidR="003B45BE">
        <w:t xml:space="preserve"> then. </w:t>
      </w:r>
    </w:p>
    <w:p w14:paraId="775BC600" w14:textId="77777777" w:rsidR="003B45BE" w:rsidRDefault="003B45BE" w:rsidP="00D87BFA">
      <w:pPr>
        <w:pStyle w:val="ListParagraph"/>
        <w:numPr>
          <w:ilvl w:val="0"/>
          <w:numId w:val="0"/>
        </w:numPr>
      </w:pPr>
    </w:p>
    <w:p w14:paraId="60F4A690" w14:textId="1C45C38B" w:rsidR="003B45BE" w:rsidRDefault="003B45BE" w:rsidP="003B45BE">
      <w:pPr>
        <w:pStyle w:val="ListParagraph"/>
        <w:numPr>
          <w:ilvl w:val="0"/>
          <w:numId w:val="0"/>
        </w:numPr>
        <w:rPr>
          <w:bCs/>
        </w:rPr>
      </w:pPr>
      <w:r>
        <w:rPr>
          <w:bCs/>
        </w:rPr>
        <w:t xml:space="preserve">Considering the mismatch proposal, </w:t>
      </w:r>
      <w:r w:rsidR="00DA565A">
        <w:rPr>
          <w:bCs/>
        </w:rPr>
        <w:t>these</w:t>
      </w:r>
      <w:r>
        <w:rPr>
          <w:bCs/>
        </w:rPr>
        <w:t xml:space="preserve"> would be the resulting MTSU and TT for these 2 test cases:</w:t>
      </w:r>
    </w:p>
    <w:p w14:paraId="24A6C1B3" w14:textId="77777777" w:rsidR="003B45BE" w:rsidRDefault="003B45BE" w:rsidP="003B45BE">
      <w:pPr>
        <w:pStyle w:val="ListParagraph"/>
        <w:numPr>
          <w:ilvl w:val="0"/>
          <w:numId w:val="0"/>
        </w:numPr>
        <w:rPr>
          <w:bCs/>
        </w:rPr>
      </w:pPr>
    </w:p>
    <w:tbl>
      <w:tblPr>
        <w:tblStyle w:val="TableGrid"/>
        <w:tblW w:w="0" w:type="auto"/>
        <w:tblLook w:val="04A0" w:firstRow="1" w:lastRow="0" w:firstColumn="1" w:lastColumn="0" w:noHBand="0" w:noVBand="1"/>
      </w:tblPr>
      <w:tblGrid>
        <w:gridCol w:w="3210"/>
        <w:gridCol w:w="3210"/>
        <w:gridCol w:w="3211"/>
      </w:tblGrid>
      <w:tr w:rsidR="003B45BE" w14:paraId="4D05DCD8" w14:textId="77777777" w:rsidTr="009938D8">
        <w:tc>
          <w:tcPr>
            <w:tcW w:w="3210" w:type="dxa"/>
          </w:tcPr>
          <w:p w14:paraId="2C61AC45" w14:textId="77777777" w:rsidR="003B45BE" w:rsidRPr="0072414B" w:rsidRDefault="003B45BE" w:rsidP="009938D8">
            <w:pPr>
              <w:pStyle w:val="ListParagraph"/>
              <w:numPr>
                <w:ilvl w:val="0"/>
                <w:numId w:val="0"/>
              </w:numPr>
              <w:jc w:val="center"/>
              <w:rPr>
                <w:b/>
                <w:bCs/>
              </w:rPr>
            </w:pPr>
            <w:r w:rsidRPr="0072414B">
              <w:rPr>
                <w:b/>
                <w:bCs/>
              </w:rPr>
              <w:t>Test Case</w:t>
            </w:r>
          </w:p>
        </w:tc>
        <w:tc>
          <w:tcPr>
            <w:tcW w:w="3210" w:type="dxa"/>
          </w:tcPr>
          <w:p w14:paraId="3A1AAE68" w14:textId="77777777" w:rsidR="003B45BE" w:rsidRPr="0072414B" w:rsidRDefault="003B45BE" w:rsidP="009938D8">
            <w:pPr>
              <w:pStyle w:val="ListParagraph"/>
              <w:numPr>
                <w:ilvl w:val="0"/>
                <w:numId w:val="0"/>
              </w:numPr>
              <w:jc w:val="center"/>
              <w:rPr>
                <w:b/>
                <w:bCs/>
              </w:rPr>
            </w:pPr>
            <w:r w:rsidRPr="0072414B">
              <w:rPr>
                <w:b/>
                <w:bCs/>
              </w:rPr>
              <w:t>MTSU</w:t>
            </w:r>
          </w:p>
        </w:tc>
        <w:tc>
          <w:tcPr>
            <w:tcW w:w="3211" w:type="dxa"/>
          </w:tcPr>
          <w:p w14:paraId="2CA18F5E" w14:textId="77777777" w:rsidR="003B45BE" w:rsidRPr="0072414B" w:rsidRDefault="003B45BE" w:rsidP="009938D8">
            <w:pPr>
              <w:pStyle w:val="ListParagraph"/>
              <w:numPr>
                <w:ilvl w:val="0"/>
                <w:numId w:val="0"/>
              </w:numPr>
              <w:jc w:val="center"/>
              <w:rPr>
                <w:b/>
                <w:bCs/>
              </w:rPr>
            </w:pPr>
            <w:r w:rsidRPr="0072414B">
              <w:rPr>
                <w:b/>
                <w:bCs/>
              </w:rPr>
              <w:t>TT</w:t>
            </w:r>
          </w:p>
        </w:tc>
      </w:tr>
      <w:tr w:rsidR="003B45BE" w14:paraId="40FBE0CA" w14:textId="77777777" w:rsidTr="009938D8">
        <w:tc>
          <w:tcPr>
            <w:tcW w:w="3210" w:type="dxa"/>
          </w:tcPr>
          <w:p w14:paraId="74F6202F" w14:textId="6C610FC8" w:rsidR="003B45BE" w:rsidRPr="0072414B" w:rsidRDefault="003B45BE" w:rsidP="009938D8">
            <w:pPr>
              <w:pStyle w:val="ListParagraph"/>
              <w:numPr>
                <w:ilvl w:val="0"/>
                <w:numId w:val="0"/>
              </w:numPr>
              <w:rPr>
                <w:bCs/>
              </w:rPr>
            </w:pPr>
            <w:r>
              <w:rPr>
                <w:bCs/>
              </w:rPr>
              <w:t>REFSENS</w:t>
            </w:r>
          </w:p>
        </w:tc>
        <w:tc>
          <w:tcPr>
            <w:tcW w:w="3210" w:type="dxa"/>
          </w:tcPr>
          <w:p w14:paraId="213DA37C" w14:textId="42A28F14" w:rsidR="003B45BE" w:rsidRDefault="00F8509B" w:rsidP="009938D8">
            <w:pPr>
              <w:pStyle w:val="ListParagraph"/>
              <w:numPr>
                <w:ilvl w:val="0"/>
                <w:numId w:val="0"/>
              </w:numPr>
              <w:jc w:val="center"/>
            </w:pPr>
            <w:r>
              <w:t>5.95</w:t>
            </w:r>
            <w:r w:rsidR="003B45BE">
              <w:t xml:space="preserve">dB </w:t>
            </w:r>
            <w:r w:rsidR="003B45BE" w:rsidRPr="00F457E4">
              <w:rPr>
                <w:rFonts w:cs="Arial"/>
                <w:bCs/>
                <w:color w:val="000000"/>
                <w:szCs w:val="18"/>
                <w:lang w:val="es-ES"/>
              </w:rPr>
              <w:t>(FR2c, NTC)</w:t>
            </w:r>
          </w:p>
        </w:tc>
        <w:tc>
          <w:tcPr>
            <w:tcW w:w="3211" w:type="dxa"/>
          </w:tcPr>
          <w:p w14:paraId="0F633478" w14:textId="55F96AA2" w:rsidR="00F360A1" w:rsidRDefault="00F8509B" w:rsidP="00F360A1">
            <w:pPr>
              <w:pStyle w:val="ListParagraph"/>
              <w:numPr>
                <w:ilvl w:val="0"/>
                <w:numId w:val="0"/>
              </w:numPr>
              <w:jc w:val="center"/>
              <w:rPr>
                <w:rFonts w:cs="Arial"/>
                <w:bCs/>
                <w:color w:val="000000"/>
                <w:szCs w:val="18"/>
              </w:rPr>
            </w:pPr>
            <w:r>
              <w:rPr>
                <w:rFonts w:cs="Arial"/>
                <w:bCs/>
                <w:color w:val="000000"/>
                <w:szCs w:val="18"/>
              </w:rPr>
              <w:t>2.68</w:t>
            </w:r>
            <w:r w:rsidR="00F360A1">
              <w:rPr>
                <w:rFonts w:cs="Arial"/>
                <w:bCs/>
                <w:color w:val="000000"/>
                <w:szCs w:val="18"/>
              </w:rPr>
              <w:t xml:space="preserve">dB </w:t>
            </w:r>
            <w:r w:rsidR="00F360A1" w:rsidRPr="00F24B06">
              <w:rPr>
                <w:rFonts w:cs="Arial"/>
                <w:bCs/>
                <w:color w:val="000000"/>
                <w:szCs w:val="18"/>
              </w:rPr>
              <w:t xml:space="preserve">(FR2c, NTC); </w:t>
            </w:r>
          </w:p>
          <w:p w14:paraId="57144DDC" w14:textId="6BE0A653" w:rsidR="003B45BE" w:rsidRDefault="00F360A1" w:rsidP="00F360A1">
            <w:pPr>
              <w:pStyle w:val="ListParagraph"/>
              <w:numPr>
                <w:ilvl w:val="0"/>
                <w:numId w:val="0"/>
              </w:numPr>
              <w:jc w:val="center"/>
            </w:pPr>
            <w:r w:rsidRPr="00F24B06">
              <w:rPr>
                <w:rFonts w:cs="Arial"/>
                <w:bCs/>
                <w:color w:val="000000"/>
                <w:szCs w:val="18"/>
              </w:rPr>
              <w:t>TT</w:t>
            </w:r>
            <w:r>
              <w:rPr>
                <w:rFonts w:cs="Arial"/>
                <w:bCs/>
                <w:color w:val="000000"/>
                <w:szCs w:val="18"/>
              </w:rPr>
              <w:t xml:space="preserve"> </w:t>
            </w:r>
            <w:r w:rsidRPr="009A4211">
              <w:t>= 0.</w:t>
            </w:r>
            <w:r>
              <w:t>45</w:t>
            </w:r>
            <w:r w:rsidRPr="009A4211">
              <w:t xml:space="preserve"> x MTSU</w:t>
            </w:r>
            <w:r w:rsidRPr="009A4211">
              <w:rPr>
                <w:vertAlign w:val="subscript"/>
              </w:rPr>
              <w:t>IFF</w:t>
            </w:r>
          </w:p>
        </w:tc>
      </w:tr>
      <w:tr w:rsidR="003B45BE" w14:paraId="685E75C4" w14:textId="77777777" w:rsidTr="009938D8">
        <w:tc>
          <w:tcPr>
            <w:tcW w:w="3210" w:type="dxa"/>
          </w:tcPr>
          <w:p w14:paraId="19EB867E" w14:textId="26240935" w:rsidR="003B45BE" w:rsidRPr="0072414B" w:rsidRDefault="003B45BE" w:rsidP="009938D8">
            <w:pPr>
              <w:pStyle w:val="ListParagraph"/>
              <w:numPr>
                <w:ilvl w:val="0"/>
                <w:numId w:val="0"/>
              </w:numPr>
              <w:rPr>
                <w:bCs/>
              </w:rPr>
            </w:pPr>
            <w:r>
              <w:rPr>
                <w:bCs/>
              </w:rPr>
              <w:t>EIS Spherical Coverage</w:t>
            </w:r>
          </w:p>
        </w:tc>
        <w:tc>
          <w:tcPr>
            <w:tcW w:w="3210" w:type="dxa"/>
          </w:tcPr>
          <w:p w14:paraId="7B9352D5" w14:textId="2048034C" w:rsidR="003B45BE" w:rsidRDefault="00910EB6" w:rsidP="009938D8">
            <w:pPr>
              <w:pStyle w:val="ListParagraph"/>
              <w:numPr>
                <w:ilvl w:val="0"/>
                <w:numId w:val="0"/>
              </w:numPr>
              <w:jc w:val="center"/>
            </w:pPr>
            <w:r>
              <w:t>5.66</w:t>
            </w:r>
            <w:r w:rsidR="003B45BE">
              <w:t xml:space="preserve">dB </w:t>
            </w:r>
            <w:r w:rsidR="003B45BE" w:rsidRPr="00F457E4">
              <w:rPr>
                <w:rFonts w:cs="Arial"/>
                <w:bCs/>
                <w:color w:val="000000"/>
                <w:szCs w:val="18"/>
                <w:lang w:val="es-ES"/>
              </w:rPr>
              <w:t>(FR2c, NTC)</w:t>
            </w:r>
          </w:p>
        </w:tc>
        <w:tc>
          <w:tcPr>
            <w:tcW w:w="3211" w:type="dxa"/>
          </w:tcPr>
          <w:p w14:paraId="5DDDA505" w14:textId="09901220" w:rsidR="003B45BE" w:rsidRDefault="00910EB6" w:rsidP="009938D8">
            <w:pPr>
              <w:pStyle w:val="ListParagraph"/>
              <w:numPr>
                <w:ilvl w:val="0"/>
                <w:numId w:val="0"/>
              </w:numPr>
              <w:jc w:val="center"/>
              <w:rPr>
                <w:rFonts w:cs="Arial"/>
                <w:bCs/>
                <w:color w:val="000000"/>
                <w:szCs w:val="18"/>
              </w:rPr>
            </w:pPr>
            <w:r>
              <w:rPr>
                <w:rFonts w:cs="Arial"/>
                <w:bCs/>
                <w:color w:val="000000"/>
                <w:szCs w:val="18"/>
              </w:rPr>
              <w:t>2.55</w:t>
            </w:r>
            <w:r w:rsidR="003B45BE">
              <w:rPr>
                <w:rFonts w:cs="Arial"/>
                <w:bCs/>
                <w:color w:val="000000"/>
                <w:szCs w:val="18"/>
              </w:rPr>
              <w:t xml:space="preserve">dB </w:t>
            </w:r>
            <w:r w:rsidR="003B45BE" w:rsidRPr="00F24B06">
              <w:rPr>
                <w:rFonts w:cs="Arial"/>
                <w:bCs/>
                <w:color w:val="000000"/>
                <w:szCs w:val="18"/>
              </w:rPr>
              <w:t xml:space="preserve">(FR2c, NTC); </w:t>
            </w:r>
          </w:p>
          <w:p w14:paraId="1B10A389" w14:textId="5F6697B5" w:rsidR="003B45BE" w:rsidRDefault="003B45BE" w:rsidP="009938D8">
            <w:pPr>
              <w:pStyle w:val="ListParagraph"/>
              <w:numPr>
                <w:ilvl w:val="0"/>
                <w:numId w:val="0"/>
              </w:numPr>
              <w:jc w:val="center"/>
            </w:pPr>
            <w:r w:rsidRPr="00F24B06">
              <w:rPr>
                <w:rFonts w:cs="Arial"/>
                <w:bCs/>
                <w:color w:val="000000"/>
                <w:szCs w:val="18"/>
              </w:rPr>
              <w:t>TT</w:t>
            </w:r>
            <w:r>
              <w:rPr>
                <w:rFonts w:cs="Arial"/>
                <w:bCs/>
                <w:color w:val="000000"/>
                <w:szCs w:val="18"/>
              </w:rPr>
              <w:t xml:space="preserve"> </w:t>
            </w:r>
            <w:r w:rsidRPr="009A4211">
              <w:t>= 0.</w:t>
            </w:r>
            <w:r w:rsidR="00F360A1">
              <w:t>45</w:t>
            </w:r>
            <w:r w:rsidRPr="009A4211">
              <w:t xml:space="preserve"> x MTSU</w:t>
            </w:r>
            <w:r w:rsidRPr="009A4211">
              <w:rPr>
                <w:vertAlign w:val="subscript"/>
              </w:rPr>
              <w:t>IFF</w:t>
            </w:r>
          </w:p>
        </w:tc>
      </w:tr>
    </w:tbl>
    <w:p w14:paraId="0AD8C67C" w14:textId="3BC2A3A6" w:rsidR="003B45BE" w:rsidRDefault="003B45BE" w:rsidP="003B45BE">
      <w:pPr>
        <w:pStyle w:val="ListParagraph"/>
        <w:numPr>
          <w:ilvl w:val="0"/>
          <w:numId w:val="0"/>
        </w:numPr>
        <w:jc w:val="center"/>
      </w:pPr>
      <w:r w:rsidRPr="00695646">
        <w:rPr>
          <w:b/>
          <w:bCs/>
        </w:rPr>
        <w:t>Table 2.2.1-1.</w:t>
      </w:r>
      <w:r>
        <w:t xml:space="preserve"> MTSU and TT for </w:t>
      </w:r>
      <w:r w:rsidR="00910EB6">
        <w:rPr>
          <w:bCs/>
        </w:rPr>
        <w:t>REFSENS</w:t>
      </w:r>
      <w:r>
        <w:t xml:space="preserve"> and </w:t>
      </w:r>
      <w:r w:rsidR="00910EB6">
        <w:rPr>
          <w:bCs/>
        </w:rPr>
        <w:t>EIS Spherical Coverage</w:t>
      </w:r>
      <w:r w:rsidR="00910EB6">
        <w:t xml:space="preserve"> </w:t>
      </w:r>
      <w:r>
        <w:t>in FR2c.</w:t>
      </w:r>
    </w:p>
    <w:p w14:paraId="43F5797D" w14:textId="627FF25B" w:rsidR="00F46E30" w:rsidRPr="00F46E30" w:rsidRDefault="00F46E30" w:rsidP="00C42EBF"/>
    <w:bookmarkEnd w:id="1"/>
    <w:bookmarkEnd w:id="2"/>
    <w:p w14:paraId="701A1CDC" w14:textId="77777777" w:rsidR="00F6267E" w:rsidRDefault="00F6267E" w:rsidP="00F6267E">
      <w:pPr>
        <w:pStyle w:val="Heading1"/>
        <w:numPr>
          <w:ilvl w:val="0"/>
          <w:numId w:val="42"/>
        </w:numPr>
        <w:ind w:left="360"/>
      </w:pPr>
      <w:r>
        <w:t>Conclusion</w:t>
      </w:r>
    </w:p>
    <w:p w14:paraId="41FA10DA" w14:textId="7D1D78BC" w:rsidR="00734F28" w:rsidRDefault="00F6267E" w:rsidP="00F6267E">
      <w:r>
        <w:t xml:space="preserve">The </w:t>
      </w:r>
      <w:r w:rsidR="00734F28">
        <w:t xml:space="preserve">following observations and </w:t>
      </w:r>
      <w:r w:rsidR="0034011D">
        <w:t>proposals</w:t>
      </w:r>
      <w:r w:rsidR="00734F28">
        <w:t xml:space="preserve"> were made in this contribution. </w:t>
      </w:r>
    </w:p>
    <w:p w14:paraId="2411B4F0" w14:textId="77B04AB4" w:rsidR="006A68BD" w:rsidRPr="001A5959" w:rsidRDefault="001E4989" w:rsidP="00F6267E">
      <w:r w:rsidRPr="001A5959">
        <w:fldChar w:fldCharType="begin"/>
      </w:r>
      <w:r w:rsidRPr="001A5959">
        <w:instrText xml:space="preserve"> REF _Ref139880764 \h </w:instrText>
      </w:r>
      <w:r w:rsidR="001A5959" w:rsidRPr="001A5959">
        <w:instrText xml:space="preserve"> \* MERGEFORMAT </w:instrText>
      </w:r>
      <w:r w:rsidRPr="001A5959">
        <w:fldChar w:fldCharType="separate"/>
      </w:r>
      <w:r w:rsidR="00973CF1" w:rsidRPr="00973CF1">
        <w:rPr>
          <w:b/>
          <w:bCs/>
        </w:rPr>
        <w:t xml:space="preserve">Proposal </w:t>
      </w:r>
      <w:r w:rsidR="00973CF1" w:rsidRPr="00973CF1">
        <w:rPr>
          <w:b/>
          <w:bCs/>
          <w:noProof/>
        </w:rPr>
        <w:t>1.</w:t>
      </w:r>
      <w:r w:rsidR="00973CF1" w:rsidRPr="007E6ED0">
        <w:t xml:space="preserve"> </w:t>
      </w:r>
      <w:r w:rsidR="00973CF1" w:rsidRPr="00973CF1">
        <w:t xml:space="preserve">For mismatch MU factor, accept proposal made in </w:t>
      </w:r>
      <w:r w:rsidR="00973CF1">
        <w:t>[2]</w:t>
      </w:r>
      <w:r w:rsidR="00973CF1" w:rsidRPr="00973CF1">
        <w:t>, reproduced here for convenience: “Apply</w:t>
      </w:r>
      <w:r w:rsidR="00973CF1" w:rsidRPr="00973CF1">
        <w:rPr>
          <w:i/>
          <w:iCs/>
        </w:rPr>
        <w:t xml:space="preserve"> a mismatch uncertainty of 1.7 dB as default in the frequency range from 40.8 GHz to 44.3 GHz, CHBW ≤ 400 MHz, IFF and PC3. For ACLR specify a mismatch uncertainty of 2.4 dB”</w:t>
      </w:r>
      <w:r w:rsidR="00973CF1" w:rsidRPr="00973CF1">
        <w:t>.</w:t>
      </w:r>
      <w:r w:rsidRPr="001A5959">
        <w:fldChar w:fldCharType="end"/>
      </w:r>
    </w:p>
    <w:p w14:paraId="047DFFCA" w14:textId="4B9E5603" w:rsidR="001A5959" w:rsidRPr="001A5959" w:rsidRDefault="001A5959" w:rsidP="00F6267E">
      <w:r w:rsidRPr="001A5959">
        <w:fldChar w:fldCharType="begin"/>
      </w:r>
      <w:r w:rsidRPr="001A5959">
        <w:instrText xml:space="preserve"> REF _Ref132626085 \h  \* MERGEFORMAT </w:instrText>
      </w:r>
      <w:r w:rsidRPr="001A5959">
        <w:fldChar w:fldCharType="separate"/>
      </w:r>
      <w:r w:rsidR="0086041F" w:rsidRPr="0086041F">
        <w:rPr>
          <w:b/>
          <w:bCs/>
        </w:rPr>
        <w:t xml:space="preserve">Proposal </w:t>
      </w:r>
      <w:r w:rsidR="0086041F" w:rsidRPr="0086041F">
        <w:rPr>
          <w:b/>
          <w:bCs/>
          <w:noProof/>
        </w:rPr>
        <w:t>2.</w:t>
      </w:r>
      <w:r w:rsidR="0086041F" w:rsidRPr="00C138CD">
        <w:t xml:space="preserve"> </w:t>
      </w:r>
      <w:r w:rsidR="0086041F" w:rsidRPr="0086041F">
        <w:t>For ACLR test case, for FR2c to define quality of quiet zone uncertainty and quality of the quiet zone for calibration process the same as defined respectively for FR2a and FR2b.</w:t>
      </w:r>
      <w:r w:rsidRPr="001A5959">
        <w:fldChar w:fldCharType="end"/>
      </w:r>
    </w:p>
    <w:p w14:paraId="03B346AD" w14:textId="7F9C5E1A" w:rsidR="001A5959" w:rsidRDefault="001A5959" w:rsidP="00F6267E">
      <w:r>
        <w:fldChar w:fldCharType="begin"/>
      </w:r>
      <w:r>
        <w:instrText xml:space="preserve"> REF _Ref139880775 \h </w:instrText>
      </w:r>
      <w:r>
        <w:fldChar w:fldCharType="separate"/>
      </w:r>
      <w:r w:rsidR="0086041F" w:rsidRPr="00872E39">
        <w:rPr>
          <w:b/>
          <w:bCs/>
        </w:rPr>
        <w:t xml:space="preserve">Proposal </w:t>
      </w:r>
      <w:r w:rsidR="0086041F">
        <w:rPr>
          <w:b/>
          <w:bCs/>
          <w:noProof/>
        </w:rPr>
        <w:t>3</w:t>
      </w:r>
      <w:r w:rsidR="0086041F" w:rsidRPr="00872E39">
        <w:rPr>
          <w:b/>
          <w:bCs/>
        </w:rPr>
        <w:t>.</w:t>
      </w:r>
      <w:r w:rsidR="0086041F" w:rsidRPr="007E6ED0">
        <w:t xml:space="preserve"> </w:t>
      </w:r>
      <w:r w:rsidR="0086041F">
        <w:rPr>
          <w:bCs/>
        </w:rPr>
        <w:t>For</w:t>
      </w:r>
      <w:r w:rsidR="0086041F" w:rsidRPr="00696A83">
        <w:rPr>
          <w:bCs/>
        </w:rPr>
        <w:t xml:space="preserve"> MOP-EIRP</w:t>
      </w:r>
      <w:r w:rsidR="0086041F">
        <w:rPr>
          <w:bCs/>
        </w:rPr>
        <w:t xml:space="preserve"> and</w:t>
      </w:r>
      <w:r w:rsidR="0086041F" w:rsidRPr="00696A83">
        <w:rPr>
          <w:bCs/>
        </w:rPr>
        <w:t xml:space="preserve"> MOP-TRP</w:t>
      </w:r>
      <w:r w:rsidR="0086041F">
        <w:rPr>
          <w:bCs/>
        </w:rPr>
        <w:t xml:space="preserve">, </w:t>
      </w:r>
      <w:r w:rsidR="0086041F" w:rsidRPr="00696A83">
        <w:rPr>
          <w:bCs/>
        </w:rPr>
        <w:t>proposed to assume for FR2c the same influence of noise defined respectively for FR2b</w:t>
      </w:r>
      <w:r w:rsidR="0086041F">
        <w:rPr>
          <w:bCs/>
        </w:rPr>
        <w:t>.</w:t>
      </w:r>
      <w:r>
        <w:fldChar w:fldCharType="end"/>
      </w:r>
    </w:p>
    <w:p w14:paraId="3867C477" w14:textId="2899C2E3" w:rsidR="001A5959" w:rsidRDefault="001A5959" w:rsidP="00F6267E">
      <w:r>
        <w:fldChar w:fldCharType="begin"/>
      </w:r>
      <w:r>
        <w:instrText xml:space="preserve"> REF _Ref139880780 \h </w:instrText>
      </w:r>
      <w:r>
        <w:fldChar w:fldCharType="separate"/>
      </w:r>
      <w:r w:rsidR="0086041F" w:rsidRPr="00872E39">
        <w:rPr>
          <w:b/>
          <w:bCs/>
        </w:rPr>
        <w:t xml:space="preserve">Proposal </w:t>
      </w:r>
      <w:r w:rsidR="0086041F">
        <w:rPr>
          <w:b/>
          <w:bCs/>
          <w:noProof/>
        </w:rPr>
        <w:t>4</w:t>
      </w:r>
      <w:r w:rsidR="0086041F" w:rsidRPr="00872E39">
        <w:rPr>
          <w:b/>
          <w:bCs/>
        </w:rPr>
        <w:t>.</w:t>
      </w:r>
      <w:r w:rsidR="0086041F" w:rsidRPr="007E6ED0">
        <w:t xml:space="preserve"> </w:t>
      </w:r>
      <w:r w:rsidR="0086041F">
        <w:t>For f</w:t>
      </w:r>
      <w:r w:rsidR="0086041F">
        <w:rPr>
          <w:bCs/>
        </w:rPr>
        <w:t>requency error test case, define MTSU for FR2c to +/-0.01ppm, as currently defined for FR2a and FR2b.</w:t>
      </w:r>
      <w:r>
        <w:fldChar w:fldCharType="end"/>
      </w:r>
    </w:p>
    <w:p w14:paraId="5CCB1538" w14:textId="77777777" w:rsidR="00CB54AD" w:rsidRDefault="00CB54AD" w:rsidP="00CB54AD">
      <w:pPr>
        <w:pStyle w:val="Heading1"/>
        <w:numPr>
          <w:ilvl w:val="0"/>
          <w:numId w:val="42"/>
        </w:numPr>
        <w:ind w:left="360"/>
      </w:pPr>
      <w:r>
        <w:t>References</w:t>
      </w:r>
    </w:p>
    <w:p w14:paraId="57E68977" w14:textId="386227F2" w:rsidR="003404F4" w:rsidRDefault="00AD35AE" w:rsidP="00CB54AD">
      <w:pPr>
        <w:numPr>
          <w:ilvl w:val="0"/>
          <w:numId w:val="5"/>
        </w:numPr>
        <w:tabs>
          <w:tab w:val="left" w:pos="426"/>
        </w:tabs>
        <w:overflowPunct w:val="0"/>
        <w:autoSpaceDE w:val="0"/>
        <w:autoSpaceDN w:val="0"/>
        <w:adjustRightInd w:val="0"/>
        <w:textAlignment w:val="baseline"/>
      </w:pPr>
      <w:bookmarkStart w:id="8" w:name="_Ref124155470"/>
      <w:r w:rsidRPr="00AD35AE">
        <w:t>R5-232983</w:t>
      </w:r>
      <w:r w:rsidR="003C69A5">
        <w:t>, “</w:t>
      </w:r>
      <w:r w:rsidR="004040FE" w:rsidRPr="004040FE">
        <w:t>MU discussion on FR2c</w:t>
      </w:r>
      <w:r w:rsidR="003C69A5">
        <w:t xml:space="preserve">”, </w:t>
      </w:r>
      <w:r w:rsidR="003C69A5" w:rsidRPr="004040FE">
        <w:t>Anritsu</w:t>
      </w:r>
      <w:r w:rsidR="003C69A5">
        <w:t>, RAN5#</w:t>
      </w:r>
      <w:r>
        <w:t>99</w:t>
      </w:r>
      <w:bookmarkEnd w:id="8"/>
    </w:p>
    <w:p w14:paraId="1DF69A46" w14:textId="4CBC8D29" w:rsidR="00A36EAB" w:rsidRDefault="007E166C" w:rsidP="00A36EAB">
      <w:pPr>
        <w:numPr>
          <w:ilvl w:val="0"/>
          <w:numId w:val="5"/>
        </w:numPr>
        <w:tabs>
          <w:tab w:val="left" w:pos="426"/>
        </w:tabs>
        <w:overflowPunct w:val="0"/>
        <w:autoSpaceDE w:val="0"/>
        <w:autoSpaceDN w:val="0"/>
        <w:adjustRightInd w:val="0"/>
        <w:textAlignment w:val="baseline"/>
      </w:pPr>
      <w:bookmarkStart w:id="9" w:name="_Ref139874146"/>
      <w:r w:rsidRPr="007E166C">
        <w:t>R5-233174</w:t>
      </w:r>
      <w:r w:rsidR="00A36EAB">
        <w:t>, “</w:t>
      </w:r>
      <w:r w:rsidRPr="007E166C">
        <w:t>On the MU for n259</w:t>
      </w:r>
      <w:r w:rsidR="00A36EAB" w:rsidRPr="007E166C">
        <w:t>”, R&amp;S, RAN5</w:t>
      </w:r>
      <w:r w:rsidR="00A36EAB">
        <w:t>#</w:t>
      </w:r>
      <w:r w:rsidR="0052757C">
        <w:t>99</w:t>
      </w:r>
      <w:bookmarkEnd w:id="9"/>
    </w:p>
    <w:p w14:paraId="3044C335" w14:textId="02BB73ED" w:rsidR="003C69A5" w:rsidRPr="00BD1166" w:rsidRDefault="003D472D" w:rsidP="00CB54AD">
      <w:pPr>
        <w:numPr>
          <w:ilvl w:val="0"/>
          <w:numId w:val="5"/>
        </w:numPr>
        <w:tabs>
          <w:tab w:val="left" w:pos="426"/>
        </w:tabs>
        <w:overflowPunct w:val="0"/>
        <w:autoSpaceDE w:val="0"/>
        <w:autoSpaceDN w:val="0"/>
        <w:adjustRightInd w:val="0"/>
        <w:textAlignment w:val="baseline"/>
      </w:pPr>
      <w:r w:rsidRPr="00AD35AE">
        <w:rPr>
          <w:rFonts w:eastAsiaTheme="minorEastAsia"/>
        </w:rPr>
        <w:t>TS 38.521-</w:t>
      </w:r>
      <w:r w:rsidR="00AD35AE" w:rsidRPr="00AD35AE">
        <w:rPr>
          <w:rFonts w:eastAsiaTheme="minorEastAsia"/>
        </w:rPr>
        <w:t>2</w:t>
      </w:r>
      <w:r w:rsidRPr="00AD35AE">
        <w:rPr>
          <w:rFonts w:eastAsiaTheme="minorEastAsia"/>
        </w:rPr>
        <w:t xml:space="preserve">, “User Equipment (UE) conformance specification; Radio transmission and reception; Part </w:t>
      </w:r>
      <w:r w:rsidR="00AD35AE" w:rsidRPr="00AD35AE">
        <w:rPr>
          <w:rFonts w:eastAsiaTheme="minorEastAsia"/>
        </w:rPr>
        <w:t>2</w:t>
      </w:r>
      <w:r w:rsidRPr="00AD35AE">
        <w:rPr>
          <w:rFonts w:eastAsiaTheme="minorEastAsia"/>
        </w:rPr>
        <w:t xml:space="preserve">: Range </w:t>
      </w:r>
      <w:r w:rsidR="00AD35AE" w:rsidRPr="00AD35AE">
        <w:rPr>
          <w:rFonts w:eastAsiaTheme="minorEastAsia"/>
        </w:rPr>
        <w:t>2</w:t>
      </w:r>
      <w:r w:rsidRPr="00AD35AE">
        <w:rPr>
          <w:rFonts w:eastAsiaTheme="minorEastAsia"/>
        </w:rPr>
        <w:t xml:space="preserve"> Standalone”, v17.</w:t>
      </w:r>
      <w:r w:rsidR="00AD35AE" w:rsidRPr="00AD35AE">
        <w:rPr>
          <w:rFonts w:eastAsiaTheme="minorEastAsia"/>
        </w:rPr>
        <w:t>3</w:t>
      </w:r>
      <w:r w:rsidRPr="00AD35AE">
        <w:rPr>
          <w:rFonts w:eastAsiaTheme="minorEastAsia"/>
        </w:rPr>
        <w:t>.0 (2023-06)</w:t>
      </w:r>
    </w:p>
    <w:p w14:paraId="466AE7B5" w14:textId="68249768" w:rsidR="00BD1166" w:rsidRPr="00C3732E" w:rsidRDefault="00BD1166" w:rsidP="00BD1166">
      <w:pPr>
        <w:numPr>
          <w:ilvl w:val="0"/>
          <w:numId w:val="5"/>
        </w:numPr>
        <w:tabs>
          <w:tab w:val="left" w:pos="426"/>
        </w:tabs>
        <w:overflowPunct w:val="0"/>
        <w:autoSpaceDE w:val="0"/>
        <w:autoSpaceDN w:val="0"/>
        <w:adjustRightInd w:val="0"/>
        <w:textAlignment w:val="baseline"/>
        <w:rPr>
          <w:rFonts w:eastAsiaTheme="minorEastAsia"/>
        </w:rPr>
      </w:pPr>
      <w:bookmarkStart w:id="10" w:name="_Ref132624470"/>
      <w:r w:rsidRPr="00C3732E">
        <w:rPr>
          <w:rFonts w:eastAsiaTheme="minorEastAsia"/>
        </w:rPr>
        <w:t>TR 38.903, “Derivation of test tolerances and measurement uncertainty for User Equipment (UE) conformance test cases”, v17.</w:t>
      </w:r>
      <w:r>
        <w:rPr>
          <w:rFonts w:eastAsiaTheme="minorEastAsia"/>
        </w:rPr>
        <w:t>2</w:t>
      </w:r>
      <w:r w:rsidRPr="00C3732E">
        <w:rPr>
          <w:rFonts w:eastAsiaTheme="minorEastAsia"/>
        </w:rPr>
        <w:t>.0 (202</w:t>
      </w:r>
      <w:r>
        <w:rPr>
          <w:rFonts w:eastAsiaTheme="minorEastAsia"/>
        </w:rPr>
        <w:t>3</w:t>
      </w:r>
      <w:r w:rsidRPr="00C3732E">
        <w:rPr>
          <w:rFonts w:eastAsiaTheme="minorEastAsia"/>
        </w:rPr>
        <w:t>-</w:t>
      </w:r>
      <w:r>
        <w:rPr>
          <w:rFonts w:eastAsiaTheme="minorEastAsia"/>
        </w:rPr>
        <w:t>06</w:t>
      </w:r>
      <w:r w:rsidRPr="00C3732E">
        <w:rPr>
          <w:rFonts w:eastAsiaTheme="minorEastAsia"/>
        </w:rPr>
        <w:t>)</w:t>
      </w:r>
      <w:bookmarkEnd w:id="10"/>
    </w:p>
    <w:sectPr w:rsidR="00BD1166" w:rsidRPr="00C373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1870A" w14:textId="77777777" w:rsidR="003B51E6" w:rsidRDefault="003B51E6">
      <w:r>
        <w:separator/>
      </w:r>
    </w:p>
  </w:endnote>
  <w:endnote w:type="continuationSeparator" w:id="0">
    <w:p w14:paraId="7C8E0A5C" w14:textId="77777777" w:rsidR="003B51E6" w:rsidRDefault="003B51E6">
      <w:r>
        <w:continuationSeparator/>
      </w:r>
    </w:p>
  </w:endnote>
  <w:endnote w:type="continuationNotice" w:id="1">
    <w:p w14:paraId="094AD128" w14:textId="77777777" w:rsidR="003B51E6" w:rsidRDefault="003B5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C6EB2" w14:textId="77777777" w:rsidR="003B51E6" w:rsidRDefault="003B51E6">
      <w:r>
        <w:separator/>
      </w:r>
    </w:p>
  </w:footnote>
  <w:footnote w:type="continuationSeparator" w:id="0">
    <w:p w14:paraId="4148AAAA" w14:textId="77777777" w:rsidR="003B51E6" w:rsidRDefault="003B51E6">
      <w:r>
        <w:continuationSeparator/>
      </w:r>
    </w:p>
  </w:footnote>
  <w:footnote w:type="continuationNotice" w:id="1">
    <w:p w14:paraId="63B27A1E" w14:textId="77777777" w:rsidR="003B51E6" w:rsidRDefault="003B51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E6B2D2C"/>
    <w:multiLevelType w:val="hybridMultilevel"/>
    <w:tmpl w:val="58F88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775FEA"/>
    <w:multiLevelType w:val="hybridMultilevel"/>
    <w:tmpl w:val="B1F24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0"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3"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7C4609F"/>
    <w:multiLevelType w:val="hybridMultilevel"/>
    <w:tmpl w:val="1E90C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9"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8"/>
  </w:num>
  <w:num w:numId="5" w16cid:durableId="1915316065">
    <w:abstractNumId w:val="2"/>
  </w:num>
  <w:num w:numId="6" w16cid:durableId="417406821">
    <w:abstractNumId w:val="20"/>
  </w:num>
  <w:num w:numId="7" w16cid:durableId="603921104">
    <w:abstractNumId w:val="16"/>
  </w:num>
  <w:num w:numId="8" w16cid:durableId="1335261573">
    <w:abstractNumId w:val="10"/>
  </w:num>
  <w:num w:numId="9" w16cid:durableId="1464470065">
    <w:abstractNumId w:val="25"/>
  </w:num>
  <w:num w:numId="10" w16cid:durableId="496308269">
    <w:abstractNumId w:val="7"/>
  </w:num>
  <w:num w:numId="11" w16cid:durableId="1463233615">
    <w:abstractNumId w:val="30"/>
  </w:num>
  <w:num w:numId="12" w16cid:durableId="423458652">
    <w:abstractNumId w:val="14"/>
  </w:num>
  <w:num w:numId="13" w16cid:durableId="1161851675">
    <w:abstractNumId w:val="29"/>
  </w:num>
  <w:num w:numId="14" w16cid:durableId="9071901">
    <w:abstractNumId w:val="37"/>
  </w:num>
  <w:num w:numId="15" w16cid:durableId="1084718526">
    <w:abstractNumId w:val="12"/>
  </w:num>
  <w:num w:numId="16" w16cid:durableId="515996790">
    <w:abstractNumId w:val="35"/>
  </w:num>
  <w:num w:numId="17" w16cid:durableId="961113060">
    <w:abstractNumId w:val="9"/>
  </w:num>
  <w:num w:numId="18" w16cid:durableId="867109699">
    <w:abstractNumId w:val="27"/>
  </w:num>
  <w:num w:numId="19" w16cid:durableId="1825274695">
    <w:abstractNumId w:val="23"/>
  </w:num>
  <w:num w:numId="20" w16cid:durableId="1995524344">
    <w:abstractNumId w:val="28"/>
  </w:num>
  <w:num w:numId="21" w16cid:durableId="93672933">
    <w:abstractNumId w:val="34"/>
  </w:num>
  <w:num w:numId="22" w16cid:durableId="469172509">
    <w:abstractNumId w:val="26"/>
  </w:num>
  <w:num w:numId="23" w16cid:durableId="1179546305">
    <w:abstractNumId w:val="24"/>
  </w:num>
  <w:num w:numId="24" w16cid:durableId="679232884">
    <w:abstractNumId w:val="11"/>
  </w:num>
  <w:num w:numId="25" w16cid:durableId="1129058182">
    <w:abstractNumId w:val="5"/>
  </w:num>
  <w:num w:numId="26" w16cid:durableId="2094547373">
    <w:abstractNumId w:val="27"/>
  </w:num>
  <w:num w:numId="27" w16cid:durableId="1008289061">
    <w:abstractNumId w:val="27"/>
  </w:num>
  <w:num w:numId="28" w16cid:durableId="2143233623">
    <w:abstractNumId w:val="27"/>
  </w:num>
  <w:num w:numId="29" w16cid:durableId="1574505390">
    <w:abstractNumId w:val="21"/>
  </w:num>
  <w:num w:numId="30" w16cid:durableId="671028718">
    <w:abstractNumId w:val="19"/>
  </w:num>
  <w:num w:numId="31" w16cid:durableId="1955937069">
    <w:abstractNumId w:val="40"/>
  </w:num>
  <w:num w:numId="32" w16cid:durableId="568538944">
    <w:abstractNumId w:val="32"/>
  </w:num>
  <w:num w:numId="33" w16cid:durableId="1466508284">
    <w:abstractNumId w:val="39"/>
  </w:num>
  <w:num w:numId="34" w16cid:durableId="1070929017">
    <w:abstractNumId w:val="17"/>
  </w:num>
  <w:num w:numId="35" w16cid:durableId="2068991147">
    <w:abstractNumId w:val="8"/>
  </w:num>
  <w:num w:numId="36" w16cid:durableId="1627546098">
    <w:abstractNumId w:val="1"/>
  </w:num>
  <w:num w:numId="37" w16cid:durableId="475030788">
    <w:abstractNumId w:val="31"/>
  </w:num>
  <w:num w:numId="38" w16cid:durableId="16153140">
    <w:abstractNumId w:val="15"/>
  </w:num>
  <w:num w:numId="39" w16cid:durableId="1823152173">
    <w:abstractNumId w:val="4"/>
  </w:num>
  <w:num w:numId="40" w16cid:durableId="426386653">
    <w:abstractNumId w:val="33"/>
  </w:num>
  <w:num w:numId="41" w16cid:durableId="2069762685">
    <w:abstractNumId w:val="22"/>
  </w:num>
  <w:num w:numId="42" w16cid:durableId="1276525213">
    <w:abstractNumId w:val="6"/>
  </w:num>
  <w:num w:numId="43" w16cid:durableId="411312810">
    <w:abstractNumId w:val="13"/>
  </w:num>
  <w:num w:numId="44" w16cid:durableId="436369735">
    <w:abstractNumId w:val="36"/>
  </w:num>
  <w:num w:numId="45" w16cid:durableId="1252351543">
    <w:abstractNumId w:val="18"/>
  </w:num>
  <w:num w:numId="46" w16cid:durableId="18848266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CF"/>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4CF7"/>
    <w:rsid w:val="0004513F"/>
    <w:rsid w:val="0004678D"/>
    <w:rsid w:val="00052390"/>
    <w:rsid w:val="000547AB"/>
    <w:rsid w:val="0005509D"/>
    <w:rsid w:val="00055873"/>
    <w:rsid w:val="00056560"/>
    <w:rsid w:val="0005725C"/>
    <w:rsid w:val="000606FD"/>
    <w:rsid w:val="00064500"/>
    <w:rsid w:val="000668E7"/>
    <w:rsid w:val="000713C9"/>
    <w:rsid w:val="00077333"/>
    <w:rsid w:val="00082566"/>
    <w:rsid w:val="000833ED"/>
    <w:rsid w:val="00083540"/>
    <w:rsid w:val="00084983"/>
    <w:rsid w:val="00087F53"/>
    <w:rsid w:val="00093E7E"/>
    <w:rsid w:val="00096EE4"/>
    <w:rsid w:val="000A12C7"/>
    <w:rsid w:val="000A2A86"/>
    <w:rsid w:val="000A43B4"/>
    <w:rsid w:val="000B25D3"/>
    <w:rsid w:val="000B4B8B"/>
    <w:rsid w:val="000C2440"/>
    <w:rsid w:val="000C3463"/>
    <w:rsid w:val="000C640F"/>
    <w:rsid w:val="000D202B"/>
    <w:rsid w:val="000D39C6"/>
    <w:rsid w:val="000D6B69"/>
    <w:rsid w:val="000D6CFC"/>
    <w:rsid w:val="000E24A4"/>
    <w:rsid w:val="00102BA0"/>
    <w:rsid w:val="00110A88"/>
    <w:rsid w:val="00111826"/>
    <w:rsid w:val="00114DB9"/>
    <w:rsid w:val="00116761"/>
    <w:rsid w:val="001174D8"/>
    <w:rsid w:val="00121323"/>
    <w:rsid w:val="00122845"/>
    <w:rsid w:val="00124141"/>
    <w:rsid w:val="001258E2"/>
    <w:rsid w:val="0013001E"/>
    <w:rsid w:val="00130A4D"/>
    <w:rsid w:val="0014005E"/>
    <w:rsid w:val="00140084"/>
    <w:rsid w:val="0014206F"/>
    <w:rsid w:val="001423A1"/>
    <w:rsid w:val="001430FC"/>
    <w:rsid w:val="0014506D"/>
    <w:rsid w:val="001458A3"/>
    <w:rsid w:val="00150099"/>
    <w:rsid w:val="00152172"/>
    <w:rsid w:val="00153528"/>
    <w:rsid w:val="00157AD8"/>
    <w:rsid w:val="00164D99"/>
    <w:rsid w:val="00166A36"/>
    <w:rsid w:val="001741AE"/>
    <w:rsid w:val="001758FB"/>
    <w:rsid w:val="0017743A"/>
    <w:rsid w:val="00190C8C"/>
    <w:rsid w:val="001915BC"/>
    <w:rsid w:val="001960AD"/>
    <w:rsid w:val="00196F9F"/>
    <w:rsid w:val="001A08AA"/>
    <w:rsid w:val="001A17A5"/>
    <w:rsid w:val="001A2BC5"/>
    <w:rsid w:val="001A2EF9"/>
    <w:rsid w:val="001A3030"/>
    <w:rsid w:val="001A3120"/>
    <w:rsid w:val="001A3BFA"/>
    <w:rsid w:val="001A53FE"/>
    <w:rsid w:val="001A5959"/>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4989"/>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4ECB"/>
    <w:rsid w:val="00235394"/>
    <w:rsid w:val="00235813"/>
    <w:rsid w:val="002361DE"/>
    <w:rsid w:val="00236683"/>
    <w:rsid w:val="0023752C"/>
    <w:rsid w:val="00241A14"/>
    <w:rsid w:val="002425F5"/>
    <w:rsid w:val="00244EEE"/>
    <w:rsid w:val="0025114C"/>
    <w:rsid w:val="00251340"/>
    <w:rsid w:val="00252AEA"/>
    <w:rsid w:val="00254246"/>
    <w:rsid w:val="00255905"/>
    <w:rsid w:val="0025774B"/>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37DA"/>
    <w:rsid w:val="00287895"/>
    <w:rsid w:val="00287C09"/>
    <w:rsid w:val="0029076F"/>
    <w:rsid w:val="00293732"/>
    <w:rsid w:val="00296B9F"/>
    <w:rsid w:val="002A4112"/>
    <w:rsid w:val="002A7017"/>
    <w:rsid w:val="002A7F4B"/>
    <w:rsid w:val="002B01BA"/>
    <w:rsid w:val="002B11F7"/>
    <w:rsid w:val="002B34F7"/>
    <w:rsid w:val="002B3F06"/>
    <w:rsid w:val="002B4D62"/>
    <w:rsid w:val="002C1E1B"/>
    <w:rsid w:val="002C2040"/>
    <w:rsid w:val="002C7D13"/>
    <w:rsid w:val="002D0D61"/>
    <w:rsid w:val="002D44BD"/>
    <w:rsid w:val="002D69EF"/>
    <w:rsid w:val="002E465A"/>
    <w:rsid w:val="002E47F7"/>
    <w:rsid w:val="002E5F31"/>
    <w:rsid w:val="002F4093"/>
    <w:rsid w:val="002F47E3"/>
    <w:rsid w:val="002F5FAD"/>
    <w:rsid w:val="00300544"/>
    <w:rsid w:val="003045CD"/>
    <w:rsid w:val="00306D8E"/>
    <w:rsid w:val="00307D2C"/>
    <w:rsid w:val="00313528"/>
    <w:rsid w:val="00316602"/>
    <w:rsid w:val="003209E5"/>
    <w:rsid w:val="00323717"/>
    <w:rsid w:val="00324F35"/>
    <w:rsid w:val="00326CFF"/>
    <w:rsid w:val="00327D4F"/>
    <w:rsid w:val="00331E19"/>
    <w:rsid w:val="00332820"/>
    <w:rsid w:val="003330E9"/>
    <w:rsid w:val="003340C5"/>
    <w:rsid w:val="0033593B"/>
    <w:rsid w:val="0034011D"/>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4D7F"/>
    <w:rsid w:val="0039509E"/>
    <w:rsid w:val="0039608D"/>
    <w:rsid w:val="00397CC0"/>
    <w:rsid w:val="003A1A50"/>
    <w:rsid w:val="003A1E08"/>
    <w:rsid w:val="003A2D4D"/>
    <w:rsid w:val="003B1087"/>
    <w:rsid w:val="003B1AA0"/>
    <w:rsid w:val="003B45BE"/>
    <w:rsid w:val="003B478A"/>
    <w:rsid w:val="003B51E6"/>
    <w:rsid w:val="003B5AB0"/>
    <w:rsid w:val="003B7F37"/>
    <w:rsid w:val="003C4291"/>
    <w:rsid w:val="003C47CE"/>
    <w:rsid w:val="003C5232"/>
    <w:rsid w:val="003C69A5"/>
    <w:rsid w:val="003D1D54"/>
    <w:rsid w:val="003D2C79"/>
    <w:rsid w:val="003D3D1E"/>
    <w:rsid w:val="003D472D"/>
    <w:rsid w:val="003D5D10"/>
    <w:rsid w:val="003D7CEB"/>
    <w:rsid w:val="003E300F"/>
    <w:rsid w:val="003E39F0"/>
    <w:rsid w:val="003E3F2D"/>
    <w:rsid w:val="003E567C"/>
    <w:rsid w:val="003E6A73"/>
    <w:rsid w:val="003F0282"/>
    <w:rsid w:val="003F1AEA"/>
    <w:rsid w:val="003F1D13"/>
    <w:rsid w:val="003F44F9"/>
    <w:rsid w:val="003F6395"/>
    <w:rsid w:val="003F6FF1"/>
    <w:rsid w:val="003F772E"/>
    <w:rsid w:val="004006F6"/>
    <w:rsid w:val="0040097C"/>
    <w:rsid w:val="0040139E"/>
    <w:rsid w:val="004013A1"/>
    <w:rsid w:val="004026D0"/>
    <w:rsid w:val="004040FE"/>
    <w:rsid w:val="004048A9"/>
    <w:rsid w:val="00413C3E"/>
    <w:rsid w:val="00413C6C"/>
    <w:rsid w:val="0041477A"/>
    <w:rsid w:val="00417068"/>
    <w:rsid w:val="004204BB"/>
    <w:rsid w:val="00420AD5"/>
    <w:rsid w:val="00426356"/>
    <w:rsid w:val="00427B4E"/>
    <w:rsid w:val="00431287"/>
    <w:rsid w:val="004420B4"/>
    <w:rsid w:val="00444225"/>
    <w:rsid w:val="00445435"/>
    <w:rsid w:val="00456C09"/>
    <w:rsid w:val="0046119F"/>
    <w:rsid w:val="0046266D"/>
    <w:rsid w:val="00466E59"/>
    <w:rsid w:val="004701D2"/>
    <w:rsid w:val="00470B08"/>
    <w:rsid w:val="00470E49"/>
    <w:rsid w:val="00471B36"/>
    <w:rsid w:val="00473D9D"/>
    <w:rsid w:val="00474556"/>
    <w:rsid w:val="00474FBC"/>
    <w:rsid w:val="00476D28"/>
    <w:rsid w:val="00481AD0"/>
    <w:rsid w:val="00482CB3"/>
    <w:rsid w:val="004835B4"/>
    <w:rsid w:val="00484D33"/>
    <w:rsid w:val="00485FCA"/>
    <w:rsid w:val="00490F98"/>
    <w:rsid w:val="00490FAF"/>
    <w:rsid w:val="00491FA6"/>
    <w:rsid w:val="00495A33"/>
    <w:rsid w:val="00497C46"/>
    <w:rsid w:val="004A044F"/>
    <w:rsid w:val="004A07A1"/>
    <w:rsid w:val="004A17C7"/>
    <w:rsid w:val="004A419F"/>
    <w:rsid w:val="004A439A"/>
    <w:rsid w:val="004A645D"/>
    <w:rsid w:val="004A6B36"/>
    <w:rsid w:val="004A7D1A"/>
    <w:rsid w:val="004B27EC"/>
    <w:rsid w:val="004C2A16"/>
    <w:rsid w:val="004D0FD5"/>
    <w:rsid w:val="004D5AE5"/>
    <w:rsid w:val="004E1755"/>
    <w:rsid w:val="004E2B50"/>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38DB"/>
    <w:rsid w:val="00517B81"/>
    <w:rsid w:val="00520CFC"/>
    <w:rsid w:val="00522C5E"/>
    <w:rsid w:val="005239FE"/>
    <w:rsid w:val="00526FA7"/>
    <w:rsid w:val="0052757C"/>
    <w:rsid w:val="0053435C"/>
    <w:rsid w:val="00534F8F"/>
    <w:rsid w:val="00541EB9"/>
    <w:rsid w:val="00543311"/>
    <w:rsid w:val="00546367"/>
    <w:rsid w:val="005464FE"/>
    <w:rsid w:val="005471FE"/>
    <w:rsid w:val="00547986"/>
    <w:rsid w:val="00551864"/>
    <w:rsid w:val="00554A16"/>
    <w:rsid w:val="005550DD"/>
    <w:rsid w:val="00555741"/>
    <w:rsid w:val="005603F5"/>
    <w:rsid w:val="005649A1"/>
    <w:rsid w:val="00566838"/>
    <w:rsid w:val="00580542"/>
    <w:rsid w:val="00580587"/>
    <w:rsid w:val="00581E88"/>
    <w:rsid w:val="00583627"/>
    <w:rsid w:val="0058392F"/>
    <w:rsid w:val="00585B23"/>
    <w:rsid w:val="005908D2"/>
    <w:rsid w:val="00592F28"/>
    <w:rsid w:val="00593B56"/>
    <w:rsid w:val="005943B2"/>
    <w:rsid w:val="00595618"/>
    <w:rsid w:val="005A0EDD"/>
    <w:rsid w:val="005A616F"/>
    <w:rsid w:val="005A6F48"/>
    <w:rsid w:val="005B7B7A"/>
    <w:rsid w:val="005C239F"/>
    <w:rsid w:val="005C331B"/>
    <w:rsid w:val="005C4593"/>
    <w:rsid w:val="005C4830"/>
    <w:rsid w:val="005D6DA8"/>
    <w:rsid w:val="005E12CD"/>
    <w:rsid w:val="005E2166"/>
    <w:rsid w:val="005E2985"/>
    <w:rsid w:val="005E5D66"/>
    <w:rsid w:val="005E7DEC"/>
    <w:rsid w:val="005F3B1B"/>
    <w:rsid w:val="00607D98"/>
    <w:rsid w:val="0061059A"/>
    <w:rsid w:val="006126CA"/>
    <w:rsid w:val="006131BB"/>
    <w:rsid w:val="00613B1E"/>
    <w:rsid w:val="00614741"/>
    <w:rsid w:val="00616FB0"/>
    <w:rsid w:val="006210C4"/>
    <w:rsid w:val="00622B32"/>
    <w:rsid w:val="00634928"/>
    <w:rsid w:val="00635671"/>
    <w:rsid w:val="00636ABD"/>
    <w:rsid w:val="00641457"/>
    <w:rsid w:val="00643519"/>
    <w:rsid w:val="00645857"/>
    <w:rsid w:val="006468DD"/>
    <w:rsid w:val="00651C2B"/>
    <w:rsid w:val="006537BF"/>
    <w:rsid w:val="00653DF0"/>
    <w:rsid w:val="006543EF"/>
    <w:rsid w:val="0065492A"/>
    <w:rsid w:val="00654D11"/>
    <w:rsid w:val="00656822"/>
    <w:rsid w:val="00656A7B"/>
    <w:rsid w:val="00665AD3"/>
    <w:rsid w:val="006779A4"/>
    <w:rsid w:val="00683EDA"/>
    <w:rsid w:val="006856E5"/>
    <w:rsid w:val="006937D0"/>
    <w:rsid w:val="00695646"/>
    <w:rsid w:val="00695755"/>
    <w:rsid w:val="00696304"/>
    <w:rsid w:val="00696BE5"/>
    <w:rsid w:val="00696D0A"/>
    <w:rsid w:val="006974B7"/>
    <w:rsid w:val="006A03F3"/>
    <w:rsid w:val="006A5A2A"/>
    <w:rsid w:val="006A5ED0"/>
    <w:rsid w:val="006A6418"/>
    <w:rsid w:val="006A68BD"/>
    <w:rsid w:val="006B03F1"/>
    <w:rsid w:val="006B0D02"/>
    <w:rsid w:val="006B1C2F"/>
    <w:rsid w:val="006B363D"/>
    <w:rsid w:val="006B39EF"/>
    <w:rsid w:val="006B794D"/>
    <w:rsid w:val="006C2AF9"/>
    <w:rsid w:val="006C3A94"/>
    <w:rsid w:val="006C5176"/>
    <w:rsid w:val="006C7E35"/>
    <w:rsid w:val="006D132D"/>
    <w:rsid w:val="006D2259"/>
    <w:rsid w:val="006D6B1F"/>
    <w:rsid w:val="006E45D9"/>
    <w:rsid w:val="006E5B02"/>
    <w:rsid w:val="006F0D5F"/>
    <w:rsid w:val="006F1DCF"/>
    <w:rsid w:val="006F4830"/>
    <w:rsid w:val="006F4A1A"/>
    <w:rsid w:val="006F5431"/>
    <w:rsid w:val="006F5C22"/>
    <w:rsid w:val="00700488"/>
    <w:rsid w:val="00703F5D"/>
    <w:rsid w:val="00705FF6"/>
    <w:rsid w:val="0070646B"/>
    <w:rsid w:val="007066FA"/>
    <w:rsid w:val="00707941"/>
    <w:rsid w:val="00707CE7"/>
    <w:rsid w:val="00711C4A"/>
    <w:rsid w:val="0071466D"/>
    <w:rsid w:val="00714DD6"/>
    <w:rsid w:val="007162EF"/>
    <w:rsid w:val="00720148"/>
    <w:rsid w:val="00720AC9"/>
    <w:rsid w:val="0072414B"/>
    <w:rsid w:val="007250C2"/>
    <w:rsid w:val="0072666A"/>
    <w:rsid w:val="00726FD4"/>
    <w:rsid w:val="00727352"/>
    <w:rsid w:val="00727593"/>
    <w:rsid w:val="00727A8D"/>
    <w:rsid w:val="00730547"/>
    <w:rsid w:val="00732AB2"/>
    <w:rsid w:val="00734F28"/>
    <w:rsid w:val="00735C81"/>
    <w:rsid w:val="00736A17"/>
    <w:rsid w:val="007373B0"/>
    <w:rsid w:val="007403F2"/>
    <w:rsid w:val="00740C81"/>
    <w:rsid w:val="00741775"/>
    <w:rsid w:val="00744CC1"/>
    <w:rsid w:val="0074650E"/>
    <w:rsid w:val="00747AD4"/>
    <w:rsid w:val="00752FA3"/>
    <w:rsid w:val="00757CE6"/>
    <w:rsid w:val="00770A12"/>
    <w:rsid w:val="007748ED"/>
    <w:rsid w:val="00774B17"/>
    <w:rsid w:val="007756A1"/>
    <w:rsid w:val="0078088D"/>
    <w:rsid w:val="00785759"/>
    <w:rsid w:val="00785D03"/>
    <w:rsid w:val="007927CF"/>
    <w:rsid w:val="00797994"/>
    <w:rsid w:val="007A12E0"/>
    <w:rsid w:val="007A2502"/>
    <w:rsid w:val="007A4551"/>
    <w:rsid w:val="007A4F68"/>
    <w:rsid w:val="007A5139"/>
    <w:rsid w:val="007A5243"/>
    <w:rsid w:val="007A5B40"/>
    <w:rsid w:val="007A6059"/>
    <w:rsid w:val="007B03C6"/>
    <w:rsid w:val="007B0584"/>
    <w:rsid w:val="007B2DA3"/>
    <w:rsid w:val="007B5856"/>
    <w:rsid w:val="007B6E97"/>
    <w:rsid w:val="007B6FFB"/>
    <w:rsid w:val="007C0BFC"/>
    <w:rsid w:val="007C6DD8"/>
    <w:rsid w:val="007D0054"/>
    <w:rsid w:val="007D258B"/>
    <w:rsid w:val="007D2F2F"/>
    <w:rsid w:val="007D36D3"/>
    <w:rsid w:val="007D38CE"/>
    <w:rsid w:val="007D3BE3"/>
    <w:rsid w:val="007D6048"/>
    <w:rsid w:val="007E0486"/>
    <w:rsid w:val="007E166C"/>
    <w:rsid w:val="007E2E0D"/>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4D6F"/>
    <w:rsid w:val="00807F76"/>
    <w:rsid w:val="008142CC"/>
    <w:rsid w:val="008152DF"/>
    <w:rsid w:val="00816C9D"/>
    <w:rsid w:val="0082033D"/>
    <w:rsid w:val="0082128D"/>
    <w:rsid w:val="0082190B"/>
    <w:rsid w:val="00821DA8"/>
    <w:rsid w:val="00826B31"/>
    <w:rsid w:val="008278A2"/>
    <w:rsid w:val="00830BED"/>
    <w:rsid w:val="00836C44"/>
    <w:rsid w:val="0083754E"/>
    <w:rsid w:val="00837660"/>
    <w:rsid w:val="00840A11"/>
    <w:rsid w:val="008450F8"/>
    <w:rsid w:val="00845E55"/>
    <w:rsid w:val="00846391"/>
    <w:rsid w:val="00851622"/>
    <w:rsid w:val="00853CDF"/>
    <w:rsid w:val="008541B3"/>
    <w:rsid w:val="008602F7"/>
    <w:rsid w:val="0086041F"/>
    <w:rsid w:val="00861C5F"/>
    <w:rsid w:val="008626D8"/>
    <w:rsid w:val="00863644"/>
    <w:rsid w:val="00864950"/>
    <w:rsid w:val="00864B00"/>
    <w:rsid w:val="00870861"/>
    <w:rsid w:val="0087155F"/>
    <w:rsid w:val="00871E22"/>
    <w:rsid w:val="00872E39"/>
    <w:rsid w:val="00884BE6"/>
    <w:rsid w:val="0088503C"/>
    <w:rsid w:val="00885D92"/>
    <w:rsid w:val="00886AD0"/>
    <w:rsid w:val="00887650"/>
    <w:rsid w:val="00892723"/>
    <w:rsid w:val="00893454"/>
    <w:rsid w:val="00895D05"/>
    <w:rsid w:val="00896533"/>
    <w:rsid w:val="00897A25"/>
    <w:rsid w:val="008A0A78"/>
    <w:rsid w:val="008A1A84"/>
    <w:rsid w:val="008A2D48"/>
    <w:rsid w:val="008A6143"/>
    <w:rsid w:val="008B0529"/>
    <w:rsid w:val="008B1F24"/>
    <w:rsid w:val="008B5C74"/>
    <w:rsid w:val="008C2308"/>
    <w:rsid w:val="008C60E9"/>
    <w:rsid w:val="008C6185"/>
    <w:rsid w:val="008C7836"/>
    <w:rsid w:val="008D7BED"/>
    <w:rsid w:val="008E4413"/>
    <w:rsid w:val="008E4684"/>
    <w:rsid w:val="008E4F84"/>
    <w:rsid w:val="008E6844"/>
    <w:rsid w:val="008F08D9"/>
    <w:rsid w:val="008F1346"/>
    <w:rsid w:val="008F540C"/>
    <w:rsid w:val="008F7D93"/>
    <w:rsid w:val="00900219"/>
    <w:rsid w:val="0090512F"/>
    <w:rsid w:val="0090524D"/>
    <w:rsid w:val="009064E9"/>
    <w:rsid w:val="009076E4"/>
    <w:rsid w:val="00910EB6"/>
    <w:rsid w:val="00911B1A"/>
    <w:rsid w:val="00916F35"/>
    <w:rsid w:val="009232A2"/>
    <w:rsid w:val="009249BE"/>
    <w:rsid w:val="00925B2A"/>
    <w:rsid w:val="00931702"/>
    <w:rsid w:val="00931918"/>
    <w:rsid w:val="00932A19"/>
    <w:rsid w:val="00932F29"/>
    <w:rsid w:val="00937FBD"/>
    <w:rsid w:val="009439E5"/>
    <w:rsid w:val="0094491B"/>
    <w:rsid w:val="00945858"/>
    <w:rsid w:val="009514EA"/>
    <w:rsid w:val="00951CC5"/>
    <w:rsid w:val="00951E68"/>
    <w:rsid w:val="00952F41"/>
    <w:rsid w:val="0095378B"/>
    <w:rsid w:val="0095392E"/>
    <w:rsid w:val="009564E9"/>
    <w:rsid w:val="00957EF1"/>
    <w:rsid w:val="00964105"/>
    <w:rsid w:val="00970A06"/>
    <w:rsid w:val="0097133C"/>
    <w:rsid w:val="00972528"/>
    <w:rsid w:val="00973CF1"/>
    <w:rsid w:val="0097539D"/>
    <w:rsid w:val="009767AC"/>
    <w:rsid w:val="00980E79"/>
    <w:rsid w:val="00982B7E"/>
    <w:rsid w:val="00983910"/>
    <w:rsid w:val="00984E5F"/>
    <w:rsid w:val="00986997"/>
    <w:rsid w:val="00987E49"/>
    <w:rsid w:val="009913F6"/>
    <w:rsid w:val="00992B5F"/>
    <w:rsid w:val="00997D88"/>
    <w:rsid w:val="009A5814"/>
    <w:rsid w:val="009A5F26"/>
    <w:rsid w:val="009A63AD"/>
    <w:rsid w:val="009C0727"/>
    <w:rsid w:val="009C49AE"/>
    <w:rsid w:val="009C6214"/>
    <w:rsid w:val="009D28E0"/>
    <w:rsid w:val="009D343A"/>
    <w:rsid w:val="009D487E"/>
    <w:rsid w:val="009D78C2"/>
    <w:rsid w:val="009D7F67"/>
    <w:rsid w:val="009E0156"/>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096A"/>
    <w:rsid w:val="00A313BC"/>
    <w:rsid w:val="00A320FB"/>
    <w:rsid w:val="00A3540D"/>
    <w:rsid w:val="00A35801"/>
    <w:rsid w:val="00A3584A"/>
    <w:rsid w:val="00A36EAB"/>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C57B6"/>
    <w:rsid w:val="00AC5BD9"/>
    <w:rsid w:val="00AC6E03"/>
    <w:rsid w:val="00AD17B1"/>
    <w:rsid w:val="00AD35AE"/>
    <w:rsid w:val="00AD4B9B"/>
    <w:rsid w:val="00AD768A"/>
    <w:rsid w:val="00AE116C"/>
    <w:rsid w:val="00AE342A"/>
    <w:rsid w:val="00AE4F0E"/>
    <w:rsid w:val="00AE627B"/>
    <w:rsid w:val="00AE6EAF"/>
    <w:rsid w:val="00AE76AB"/>
    <w:rsid w:val="00AF0F4C"/>
    <w:rsid w:val="00AF3407"/>
    <w:rsid w:val="00AF5AD3"/>
    <w:rsid w:val="00B0589A"/>
    <w:rsid w:val="00B12E3A"/>
    <w:rsid w:val="00B14BC8"/>
    <w:rsid w:val="00B20C57"/>
    <w:rsid w:val="00B21D87"/>
    <w:rsid w:val="00B22ADA"/>
    <w:rsid w:val="00B24E76"/>
    <w:rsid w:val="00B334B9"/>
    <w:rsid w:val="00B36208"/>
    <w:rsid w:val="00B3769C"/>
    <w:rsid w:val="00B40C16"/>
    <w:rsid w:val="00B40D30"/>
    <w:rsid w:val="00B426E8"/>
    <w:rsid w:val="00B428B9"/>
    <w:rsid w:val="00B42B91"/>
    <w:rsid w:val="00B43FEC"/>
    <w:rsid w:val="00B478AC"/>
    <w:rsid w:val="00B55D9A"/>
    <w:rsid w:val="00B5661F"/>
    <w:rsid w:val="00B6099D"/>
    <w:rsid w:val="00B62514"/>
    <w:rsid w:val="00B65101"/>
    <w:rsid w:val="00B7019B"/>
    <w:rsid w:val="00B7370C"/>
    <w:rsid w:val="00B73955"/>
    <w:rsid w:val="00B75741"/>
    <w:rsid w:val="00B822A0"/>
    <w:rsid w:val="00B83349"/>
    <w:rsid w:val="00B8446C"/>
    <w:rsid w:val="00B85DD7"/>
    <w:rsid w:val="00B92920"/>
    <w:rsid w:val="00B93A4D"/>
    <w:rsid w:val="00B943D6"/>
    <w:rsid w:val="00B9469C"/>
    <w:rsid w:val="00BA0D2D"/>
    <w:rsid w:val="00BA47FD"/>
    <w:rsid w:val="00BA5EFD"/>
    <w:rsid w:val="00BB2B4D"/>
    <w:rsid w:val="00BB4346"/>
    <w:rsid w:val="00BB43B8"/>
    <w:rsid w:val="00BB53AC"/>
    <w:rsid w:val="00BB5C16"/>
    <w:rsid w:val="00BB7338"/>
    <w:rsid w:val="00BC2D24"/>
    <w:rsid w:val="00BC577A"/>
    <w:rsid w:val="00BD0905"/>
    <w:rsid w:val="00BD1166"/>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07E68"/>
    <w:rsid w:val="00C12A68"/>
    <w:rsid w:val="00C1494B"/>
    <w:rsid w:val="00C14DE6"/>
    <w:rsid w:val="00C15AC6"/>
    <w:rsid w:val="00C16052"/>
    <w:rsid w:val="00C1643C"/>
    <w:rsid w:val="00C209B5"/>
    <w:rsid w:val="00C26EE8"/>
    <w:rsid w:val="00C313B8"/>
    <w:rsid w:val="00C31D69"/>
    <w:rsid w:val="00C35AD8"/>
    <w:rsid w:val="00C401B8"/>
    <w:rsid w:val="00C42EBF"/>
    <w:rsid w:val="00C42F12"/>
    <w:rsid w:val="00C451D8"/>
    <w:rsid w:val="00C475DA"/>
    <w:rsid w:val="00C56792"/>
    <w:rsid w:val="00C6278C"/>
    <w:rsid w:val="00C63AA2"/>
    <w:rsid w:val="00C65422"/>
    <w:rsid w:val="00C65441"/>
    <w:rsid w:val="00C6599B"/>
    <w:rsid w:val="00C66260"/>
    <w:rsid w:val="00C76F04"/>
    <w:rsid w:val="00C804C3"/>
    <w:rsid w:val="00C807DB"/>
    <w:rsid w:val="00C81268"/>
    <w:rsid w:val="00C83771"/>
    <w:rsid w:val="00C87851"/>
    <w:rsid w:val="00C9025C"/>
    <w:rsid w:val="00C93744"/>
    <w:rsid w:val="00C958F3"/>
    <w:rsid w:val="00C9614A"/>
    <w:rsid w:val="00CA1AB4"/>
    <w:rsid w:val="00CA3A27"/>
    <w:rsid w:val="00CA517A"/>
    <w:rsid w:val="00CB0D58"/>
    <w:rsid w:val="00CB29E4"/>
    <w:rsid w:val="00CB54AD"/>
    <w:rsid w:val="00CB5BF2"/>
    <w:rsid w:val="00CC15A4"/>
    <w:rsid w:val="00CC28A9"/>
    <w:rsid w:val="00CC3944"/>
    <w:rsid w:val="00CC6580"/>
    <w:rsid w:val="00CC6FE0"/>
    <w:rsid w:val="00CD554E"/>
    <w:rsid w:val="00CD6130"/>
    <w:rsid w:val="00CE0386"/>
    <w:rsid w:val="00CF0031"/>
    <w:rsid w:val="00CF0C99"/>
    <w:rsid w:val="00CF46D3"/>
    <w:rsid w:val="00CF61F2"/>
    <w:rsid w:val="00D044C7"/>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2FB0"/>
    <w:rsid w:val="00D54860"/>
    <w:rsid w:val="00D54AA0"/>
    <w:rsid w:val="00D54F08"/>
    <w:rsid w:val="00D55B87"/>
    <w:rsid w:val="00D567FB"/>
    <w:rsid w:val="00D57DFA"/>
    <w:rsid w:val="00D6215E"/>
    <w:rsid w:val="00D7037F"/>
    <w:rsid w:val="00D70DBC"/>
    <w:rsid w:val="00D7306B"/>
    <w:rsid w:val="00D73201"/>
    <w:rsid w:val="00D73647"/>
    <w:rsid w:val="00D77EA4"/>
    <w:rsid w:val="00D8307F"/>
    <w:rsid w:val="00D8465F"/>
    <w:rsid w:val="00D85B5D"/>
    <w:rsid w:val="00D87BFA"/>
    <w:rsid w:val="00D90F93"/>
    <w:rsid w:val="00D91F54"/>
    <w:rsid w:val="00D93835"/>
    <w:rsid w:val="00D93AE3"/>
    <w:rsid w:val="00D9442D"/>
    <w:rsid w:val="00D94F8B"/>
    <w:rsid w:val="00D95235"/>
    <w:rsid w:val="00D9763F"/>
    <w:rsid w:val="00DA565A"/>
    <w:rsid w:val="00DA66C3"/>
    <w:rsid w:val="00DB5E7F"/>
    <w:rsid w:val="00DB6CE7"/>
    <w:rsid w:val="00DC176A"/>
    <w:rsid w:val="00DC687B"/>
    <w:rsid w:val="00DD0C2C"/>
    <w:rsid w:val="00DD0F6E"/>
    <w:rsid w:val="00DD14A6"/>
    <w:rsid w:val="00DD1C07"/>
    <w:rsid w:val="00DD3907"/>
    <w:rsid w:val="00DD4BF9"/>
    <w:rsid w:val="00DD7896"/>
    <w:rsid w:val="00DE0E3E"/>
    <w:rsid w:val="00DE2633"/>
    <w:rsid w:val="00DF1AE6"/>
    <w:rsid w:val="00E038CE"/>
    <w:rsid w:val="00E03F11"/>
    <w:rsid w:val="00E0463C"/>
    <w:rsid w:val="00E077C9"/>
    <w:rsid w:val="00E11C02"/>
    <w:rsid w:val="00E160FB"/>
    <w:rsid w:val="00E21128"/>
    <w:rsid w:val="00E21AB4"/>
    <w:rsid w:val="00E224FC"/>
    <w:rsid w:val="00E31F57"/>
    <w:rsid w:val="00E32C2E"/>
    <w:rsid w:val="00E336C5"/>
    <w:rsid w:val="00E34241"/>
    <w:rsid w:val="00E34794"/>
    <w:rsid w:val="00E41279"/>
    <w:rsid w:val="00E502C4"/>
    <w:rsid w:val="00E5455B"/>
    <w:rsid w:val="00E556C7"/>
    <w:rsid w:val="00E55ABC"/>
    <w:rsid w:val="00E56168"/>
    <w:rsid w:val="00E57B74"/>
    <w:rsid w:val="00E57FEF"/>
    <w:rsid w:val="00E642B3"/>
    <w:rsid w:val="00E70C18"/>
    <w:rsid w:val="00E71B84"/>
    <w:rsid w:val="00E86057"/>
    <w:rsid w:val="00E8629F"/>
    <w:rsid w:val="00E87E9B"/>
    <w:rsid w:val="00E90B54"/>
    <w:rsid w:val="00E96BC6"/>
    <w:rsid w:val="00E97AA9"/>
    <w:rsid w:val="00EA09B1"/>
    <w:rsid w:val="00EA0B7F"/>
    <w:rsid w:val="00EA3C24"/>
    <w:rsid w:val="00EA3D76"/>
    <w:rsid w:val="00EA739C"/>
    <w:rsid w:val="00EB0292"/>
    <w:rsid w:val="00EB61A0"/>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4B4"/>
    <w:rsid w:val="00EF5D8B"/>
    <w:rsid w:val="00EF6BCD"/>
    <w:rsid w:val="00F01416"/>
    <w:rsid w:val="00F030CA"/>
    <w:rsid w:val="00F03B85"/>
    <w:rsid w:val="00F0557F"/>
    <w:rsid w:val="00F05DFF"/>
    <w:rsid w:val="00F072D8"/>
    <w:rsid w:val="00F10B79"/>
    <w:rsid w:val="00F12D23"/>
    <w:rsid w:val="00F15074"/>
    <w:rsid w:val="00F15855"/>
    <w:rsid w:val="00F1709D"/>
    <w:rsid w:val="00F1745D"/>
    <w:rsid w:val="00F23155"/>
    <w:rsid w:val="00F24B06"/>
    <w:rsid w:val="00F26554"/>
    <w:rsid w:val="00F30653"/>
    <w:rsid w:val="00F3413D"/>
    <w:rsid w:val="00F360A1"/>
    <w:rsid w:val="00F37710"/>
    <w:rsid w:val="00F421FD"/>
    <w:rsid w:val="00F46E30"/>
    <w:rsid w:val="00F6267E"/>
    <w:rsid w:val="00F63B69"/>
    <w:rsid w:val="00F7142C"/>
    <w:rsid w:val="00F7184A"/>
    <w:rsid w:val="00F77EB0"/>
    <w:rsid w:val="00F81AC1"/>
    <w:rsid w:val="00F83415"/>
    <w:rsid w:val="00F8433D"/>
    <w:rsid w:val="00F8509B"/>
    <w:rsid w:val="00F86974"/>
    <w:rsid w:val="00F90935"/>
    <w:rsid w:val="00F91F8F"/>
    <w:rsid w:val="00FA0215"/>
    <w:rsid w:val="00FA04B9"/>
    <w:rsid w:val="00FA35B4"/>
    <w:rsid w:val="00FA3AE0"/>
    <w:rsid w:val="00FA6835"/>
    <w:rsid w:val="00FA6EFB"/>
    <w:rsid w:val="00FB2CFC"/>
    <w:rsid w:val="00FB560E"/>
    <w:rsid w:val="00FB69E7"/>
    <w:rsid w:val="00FC051F"/>
    <w:rsid w:val="00FC426E"/>
    <w:rsid w:val="00FC5E17"/>
    <w:rsid w:val="00FC5F9D"/>
    <w:rsid w:val="00FD16E0"/>
    <w:rsid w:val="00FD182B"/>
    <w:rsid w:val="00FD446A"/>
    <w:rsid w:val="00FD7A87"/>
    <w:rsid w:val="00FE1522"/>
    <w:rsid w:val="00FE27A6"/>
    <w:rsid w:val="00FE6645"/>
    <w:rsid w:val="00FE6EAD"/>
    <w:rsid w:val="00FF04B3"/>
    <w:rsid w:val="00FF2E22"/>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paragraph" w:styleId="NormalWeb">
    <w:name w:val="Normal (Web)"/>
    <w:basedOn w:val="Normal"/>
    <w:uiPriority w:val="99"/>
    <w:unhideWhenUsed/>
    <w:rsid w:val="006779A4"/>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9256061">
      <w:bodyDiv w:val="1"/>
      <w:marLeft w:val="0"/>
      <w:marRight w:val="0"/>
      <w:marTop w:val="0"/>
      <w:marBottom w:val="0"/>
      <w:divBdr>
        <w:top w:val="none" w:sz="0" w:space="0" w:color="auto"/>
        <w:left w:val="none" w:sz="0" w:space="0" w:color="auto"/>
        <w:bottom w:val="none" w:sz="0" w:space="0" w:color="auto"/>
        <w:right w:val="none" w:sz="0" w:space="0" w:color="auto"/>
      </w:divBdr>
      <w:divsChild>
        <w:div w:id="204293027">
          <w:marLeft w:val="0"/>
          <w:marRight w:val="0"/>
          <w:marTop w:val="0"/>
          <w:marBottom w:val="0"/>
          <w:divBdr>
            <w:top w:val="none" w:sz="0" w:space="0" w:color="auto"/>
            <w:left w:val="none" w:sz="0" w:space="0" w:color="auto"/>
            <w:bottom w:val="none" w:sz="0" w:space="0" w:color="auto"/>
            <w:right w:val="none" w:sz="0" w:space="0" w:color="auto"/>
          </w:divBdr>
        </w:div>
      </w:divsChild>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2BE919-A88C-4326-8682-F38A343FB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3</Pages>
  <Words>837</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155</cp:revision>
  <dcterms:created xsi:type="dcterms:W3CDTF">2020-05-26T02:02:00Z</dcterms:created>
  <dcterms:modified xsi:type="dcterms:W3CDTF">2023-08-07T08:55:00Z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